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423" w:rsidRPr="00B270C3" w:rsidRDefault="00F77099" w:rsidP="00477327">
      <w:pPr>
        <w:tabs>
          <w:tab w:val="left" w:pos="1245"/>
          <w:tab w:val="center" w:pos="5225"/>
        </w:tabs>
        <w:spacing w:after="120"/>
        <w:ind w:right="17"/>
        <w:rPr>
          <w:b/>
          <w:color w:val="FF0066"/>
          <w:sz w:val="40"/>
          <w:szCs w:val="40"/>
        </w:rPr>
      </w:pPr>
      <w:r>
        <w:rPr>
          <w:b/>
          <w:color w:val="FF0066"/>
          <w:sz w:val="40"/>
          <w:szCs w:val="40"/>
        </w:rPr>
        <w:tab/>
      </w:r>
      <w:r>
        <w:rPr>
          <w:b/>
          <w:color w:val="FF0066"/>
          <w:sz w:val="40"/>
          <w:szCs w:val="40"/>
        </w:rPr>
        <w:tab/>
      </w:r>
      <w:r w:rsidR="00AD5423" w:rsidRPr="00B270C3">
        <w:rPr>
          <w:b/>
          <w:color w:val="FF0066"/>
          <w:sz w:val="40"/>
          <w:szCs w:val="40"/>
        </w:rPr>
        <w:t xml:space="preserve">RESULTATS BAROMETRE </w:t>
      </w:r>
      <w:r w:rsidR="00C646FD">
        <w:rPr>
          <w:b/>
          <w:color w:val="FF0066"/>
          <w:sz w:val="40"/>
          <w:szCs w:val="40"/>
        </w:rPr>
        <w:t>3</w:t>
      </w:r>
      <w:r w:rsidR="00C646FD" w:rsidRPr="00C646FD">
        <w:rPr>
          <w:b/>
          <w:color w:val="FF0066"/>
          <w:sz w:val="40"/>
          <w:szCs w:val="40"/>
          <w:vertAlign w:val="superscript"/>
        </w:rPr>
        <w:t>ème</w:t>
      </w:r>
      <w:r w:rsidR="00C7021B">
        <w:rPr>
          <w:b/>
          <w:color w:val="FF0066"/>
          <w:sz w:val="40"/>
          <w:szCs w:val="40"/>
          <w:vertAlign w:val="superscript"/>
        </w:rPr>
        <w:t xml:space="preserve"> </w:t>
      </w:r>
      <w:r w:rsidR="00EC6062">
        <w:rPr>
          <w:b/>
          <w:color w:val="FF0066"/>
          <w:sz w:val="40"/>
          <w:szCs w:val="40"/>
        </w:rPr>
        <w:t xml:space="preserve"> </w:t>
      </w:r>
      <w:r w:rsidR="00975A24">
        <w:rPr>
          <w:b/>
          <w:color w:val="FF0066"/>
          <w:sz w:val="40"/>
          <w:szCs w:val="40"/>
        </w:rPr>
        <w:t xml:space="preserve"> </w:t>
      </w:r>
      <w:r w:rsidR="00AD5423" w:rsidRPr="00B270C3">
        <w:rPr>
          <w:b/>
          <w:color w:val="FF0066"/>
          <w:sz w:val="40"/>
          <w:szCs w:val="40"/>
        </w:rPr>
        <w:t>TRIMESTRE 20</w:t>
      </w:r>
      <w:r w:rsidR="00975A24">
        <w:rPr>
          <w:b/>
          <w:color w:val="FF0066"/>
          <w:sz w:val="40"/>
          <w:szCs w:val="40"/>
        </w:rPr>
        <w:t>2</w:t>
      </w:r>
      <w:r w:rsidR="00EC6062">
        <w:rPr>
          <w:b/>
          <w:color w:val="FF0066"/>
          <w:sz w:val="40"/>
          <w:szCs w:val="40"/>
        </w:rPr>
        <w:t>1</w:t>
      </w:r>
    </w:p>
    <w:p w:rsidR="00D44430" w:rsidRDefault="00D44430" w:rsidP="00477327">
      <w:pPr>
        <w:spacing w:after="120"/>
        <w:ind w:right="17"/>
        <w:jc w:val="center"/>
        <w:rPr>
          <w:b/>
          <w:color w:val="FF0066"/>
          <w:sz w:val="40"/>
          <w:szCs w:val="40"/>
        </w:rPr>
      </w:pPr>
      <w:r w:rsidRPr="00B270C3">
        <w:rPr>
          <w:b/>
          <w:color w:val="FF0066"/>
          <w:sz w:val="40"/>
          <w:szCs w:val="40"/>
        </w:rPr>
        <w:t xml:space="preserve">Partie récurrente </w:t>
      </w:r>
    </w:p>
    <w:p w:rsidR="00477327" w:rsidRPr="00D903CD" w:rsidRDefault="00477327" w:rsidP="00BE31F3">
      <w:pPr>
        <w:spacing w:after="0" w:line="240" w:lineRule="auto"/>
        <w:ind w:right="17"/>
        <w:rPr>
          <w:color w:val="000000" w:themeColor="text1"/>
        </w:rPr>
      </w:pPr>
    </w:p>
    <w:p w:rsidR="00AD5423" w:rsidRDefault="00F13685" w:rsidP="00EA01B5">
      <w:pPr>
        <w:spacing w:after="0" w:line="240" w:lineRule="auto"/>
        <w:ind w:right="17"/>
        <w:jc w:val="center"/>
        <w:rPr>
          <w:i/>
        </w:rPr>
      </w:pPr>
      <w:r w:rsidRPr="00D903CD">
        <w:rPr>
          <w:i/>
        </w:rPr>
        <w:t xml:space="preserve">1 - </w:t>
      </w:r>
      <w:r w:rsidR="00AD5423" w:rsidRPr="00D903CD">
        <w:rPr>
          <w:i/>
        </w:rPr>
        <w:t>Tendance sur l'activité de l'entreprise</w:t>
      </w:r>
    </w:p>
    <w:p w:rsidR="00C646FD" w:rsidRDefault="00C646FD" w:rsidP="00EA01B5">
      <w:pPr>
        <w:spacing w:after="0" w:line="240" w:lineRule="auto"/>
        <w:ind w:right="17"/>
        <w:jc w:val="center"/>
        <w:rPr>
          <w:i/>
        </w:rPr>
      </w:pPr>
    </w:p>
    <w:p w:rsidR="00F94C26" w:rsidRPr="00D903CD" w:rsidRDefault="00C646FD" w:rsidP="00EA01B5">
      <w:pPr>
        <w:spacing w:after="0" w:line="240" w:lineRule="auto"/>
        <w:ind w:right="17"/>
        <w:jc w:val="center"/>
        <w:rPr>
          <w:i/>
        </w:rPr>
      </w:pPr>
      <w:r>
        <w:rPr>
          <w:noProof/>
          <w:lang w:eastAsia="fr-FR"/>
        </w:rPr>
        <w:drawing>
          <wp:inline distT="0" distB="0" distL="0" distR="0" wp14:anchorId="26187D94" wp14:editId="68DE0DD3">
            <wp:extent cx="5810250" cy="3048000"/>
            <wp:effectExtent l="0" t="0" r="19050" b="19050"/>
            <wp:docPr id="2" name="Graphique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646FD" w:rsidRDefault="00C646FD" w:rsidP="00BD78DB">
      <w:pPr>
        <w:ind w:right="16"/>
        <w:jc w:val="both"/>
        <w:rPr>
          <w:noProof/>
          <w:lang w:eastAsia="fr-FR"/>
        </w:rPr>
      </w:pPr>
    </w:p>
    <w:p w:rsidR="00654671" w:rsidRPr="00D903CD" w:rsidRDefault="00F94C26" w:rsidP="00BD78DB">
      <w:pPr>
        <w:ind w:right="16"/>
        <w:jc w:val="both"/>
        <w:rPr>
          <w:noProof/>
          <w:lang w:eastAsia="fr-FR"/>
        </w:rPr>
      </w:pPr>
      <w:r>
        <w:rPr>
          <w:noProof/>
          <w:lang w:eastAsia="fr-FR"/>
        </w:rPr>
        <w:t>Pour ce</w:t>
      </w:r>
      <w:r w:rsidR="001546DD" w:rsidRPr="00D903CD">
        <w:rPr>
          <w:noProof/>
          <w:lang w:eastAsia="fr-FR"/>
        </w:rPr>
        <w:t xml:space="preserve"> </w:t>
      </w:r>
      <w:r w:rsidR="00C646FD">
        <w:rPr>
          <w:noProof/>
          <w:lang w:eastAsia="fr-FR"/>
        </w:rPr>
        <w:t>troisième</w:t>
      </w:r>
      <w:r w:rsidR="00C7021B">
        <w:rPr>
          <w:noProof/>
          <w:lang w:eastAsia="fr-FR"/>
        </w:rPr>
        <w:t xml:space="preserve"> </w:t>
      </w:r>
      <w:r w:rsidR="00807993" w:rsidRPr="00D903CD">
        <w:rPr>
          <w:noProof/>
          <w:lang w:eastAsia="fr-FR"/>
        </w:rPr>
        <w:t>t</w:t>
      </w:r>
      <w:r w:rsidR="003560C1" w:rsidRPr="00D903CD">
        <w:rPr>
          <w:noProof/>
          <w:lang w:eastAsia="fr-FR"/>
        </w:rPr>
        <w:t>rimestre 20</w:t>
      </w:r>
      <w:r w:rsidR="00487BB4" w:rsidRPr="00D903CD">
        <w:rPr>
          <w:noProof/>
          <w:lang w:eastAsia="fr-FR"/>
        </w:rPr>
        <w:t>2</w:t>
      </w:r>
      <w:r w:rsidR="00CD5071">
        <w:rPr>
          <w:noProof/>
          <w:lang w:eastAsia="fr-FR"/>
        </w:rPr>
        <w:t>1</w:t>
      </w:r>
      <w:r w:rsidR="003560C1" w:rsidRPr="00D903CD">
        <w:rPr>
          <w:noProof/>
          <w:lang w:eastAsia="fr-FR"/>
        </w:rPr>
        <w:t xml:space="preserve">, </w:t>
      </w:r>
      <w:r w:rsidR="00C7021B" w:rsidRPr="00C7021B">
        <w:rPr>
          <w:noProof/>
          <w:lang w:eastAsia="fr-FR"/>
        </w:rPr>
        <w:t xml:space="preserve"> </w:t>
      </w:r>
      <w:r w:rsidR="00C7021B" w:rsidRPr="00D903CD">
        <w:rPr>
          <w:noProof/>
          <w:lang w:eastAsia="fr-FR"/>
        </w:rPr>
        <w:t>le taux d</w:t>
      </w:r>
      <w:r w:rsidR="00C7021B">
        <w:rPr>
          <w:noProof/>
          <w:lang w:eastAsia="fr-FR"/>
        </w:rPr>
        <w:t xml:space="preserve">’optimistes est quasiment stable </w:t>
      </w:r>
      <w:r w:rsidR="00C7021B" w:rsidRPr="00D903CD">
        <w:rPr>
          <w:noProof/>
          <w:lang w:eastAsia="fr-FR"/>
        </w:rPr>
        <w:t>(</w:t>
      </w:r>
      <w:r w:rsidR="00C7021B">
        <w:rPr>
          <w:noProof/>
          <w:lang w:eastAsia="fr-FR"/>
        </w:rPr>
        <w:t>11,</w:t>
      </w:r>
      <w:r w:rsidR="00C646FD">
        <w:rPr>
          <w:noProof/>
          <w:lang w:eastAsia="fr-FR"/>
        </w:rPr>
        <w:t>7</w:t>
      </w:r>
      <w:r w:rsidR="00C7021B" w:rsidRPr="00D903CD">
        <w:rPr>
          <w:noProof/>
          <w:lang w:eastAsia="fr-FR"/>
        </w:rPr>
        <w:t xml:space="preserve">% vs </w:t>
      </w:r>
      <w:r w:rsidR="00C7021B">
        <w:rPr>
          <w:noProof/>
          <w:lang w:eastAsia="fr-FR"/>
        </w:rPr>
        <w:t>1</w:t>
      </w:r>
      <w:r w:rsidR="00C646FD">
        <w:rPr>
          <w:noProof/>
          <w:lang w:eastAsia="fr-FR"/>
        </w:rPr>
        <w:t>1</w:t>
      </w:r>
      <w:r w:rsidR="00C7021B">
        <w:rPr>
          <w:noProof/>
          <w:lang w:eastAsia="fr-FR"/>
        </w:rPr>
        <w:t>,</w:t>
      </w:r>
      <w:r w:rsidR="00C646FD">
        <w:rPr>
          <w:noProof/>
          <w:lang w:eastAsia="fr-FR"/>
        </w:rPr>
        <w:t>5</w:t>
      </w:r>
      <w:r w:rsidR="00C7021B" w:rsidRPr="00D903CD">
        <w:rPr>
          <w:noProof/>
          <w:lang w:eastAsia="fr-FR"/>
        </w:rPr>
        <w:t>%)</w:t>
      </w:r>
      <w:r w:rsidR="00C7021B">
        <w:rPr>
          <w:noProof/>
          <w:lang w:eastAsia="fr-FR"/>
        </w:rPr>
        <w:t xml:space="preserve"> alors que le</w:t>
      </w:r>
      <w:r w:rsidR="00A364F7" w:rsidRPr="00D903CD">
        <w:rPr>
          <w:noProof/>
          <w:lang w:eastAsia="fr-FR"/>
        </w:rPr>
        <w:t xml:space="preserve"> taux </w:t>
      </w:r>
      <w:r w:rsidR="00C7021B">
        <w:rPr>
          <w:noProof/>
          <w:lang w:eastAsia="fr-FR"/>
        </w:rPr>
        <w:t xml:space="preserve">d’indécis </w:t>
      </w:r>
      <w:r w:rsidR="00C646FD">
        <w:rPr>
          <w:noProof/>
          <w:lang w:eastAsia="fr-FR"/>
        </w:rPr>
        <w:t xml:space="preserve">baisse légèrement </w:t>
      </w:r>
      <w:r w:rsidR="00A364F7" w:rsidRPr="00D903CD">
        <w:rPr>
          <w:noProof/>
          <w:lang w:eastAsia="fr-FR"/>
        </w:rPr>
        <w:t>(</w:t>
      </w:r>
      <w:r w:rsidR="00C7021B">
        <w:rPr>
          <w:noProof/>
          <w:lang w:eastAsia="fr-FR"/>
        </w:rPr>
        <w:t>5</w:t>
      </w:r>
      <w:r w:rsidR="00C646FD">
        <w:rPr>
          <w:noProof/>
          <w:lang w:eastAsia="fr-FR"/>
        </w:rPr>
        <w:t>7</w:t>
      </w:r>
      <w:r w:rsidR="00C7021B">
        <w:rPr>
          <w:noProof/>
          <w:lang w:eastAsia="fr-FR"/>
        </w:rPr>
        <w:t>,</w:t>
      </w:r>
      <w:r w:rsidR="00C646FD">
        <w:rPr>
          <w:noProof/>
          <w:lang w:eastAsia="fr-FR"/>
        </w:rPr>
        <w:t>6</w:t>
      </w:r>
      <w:r w:rsidR="00A364F7" w:rsidRPr="00D903CD">
        <w:rPr>
          <w:noProof/>
          <w:lang w:eastAsia="fr-FR"/>
        </w:rPr>
        <w:t xml:space="preserve">% vs </w:t>
      </w:r>
      <w:r w:rsidR="00C646FD">
        <w:rPr>
          <w:noProof/>
          <w:lang w:eastAsia="fr-FR"/>
        </w:rPr>
        <w:t>59,9</w:t>
      </w:r>
      <w:r w:rsidR="00A364F7" w:rsidRPr="00D903CD">
        <w:rPr>
          <w:noProof/>
          <w:lang w:eastAsia="fr-FR"/>
        </w:rPr>
        <w:t>%)</w:t>
      </w:r>
      <w:r w:rsidR="00C7021B">
        <w:rPr>
          <w:noProof/>
          <w:lang w:eastAsia="fr-FR"/>
        </w:rPr>
        <w:t xml:space="preserve"> et l</w:t>
      </w:r>
      <w:r w:rsidR="004E2900" w:rsidRPr="00D903CD">
        <w:rPr>
          <w:noProof/>
          <w:lang w:eastAsia="fr-FR"/>
        </w:rPr>
        <w:t xml:space="preserve">e taux </w:t>
      </w:r>
      <w:r w:rsidR="00C7021B">
        <w:rPr>
          <w:noProof/>
          <w:lang w:eastAsia="fr-FR"/>
        </w:rPr>
        <w:t xml:space="preserve">de pessimistes </w:t>
      </w:r>
      <w:r w:rsidR="00C646FD">
        <w:rPr>
          <w:noProof/>
          <w:lang w:eastAsia="fr-FR"/>
        </w:rPr>
        <w:t xml:space="preserve">augmente sensiblement </w:t>
      </w:r>
      <w:r w:rsidR="004E2900" w:rsidRPr="00D903CD">
        <w:rPr>
          <w:noProof/>
          <w:lang w:eastAsia="fr-FR"/>
        </w:rPr>
        <w:t>(</w:t>
      </w:r>
      <w:r w:rsidR="00C7021B">
        <w:rPr>
          <w:noProof/>
          <w:lang w:eastAsia="fr-FR"/>
        </w:rPr>
        <w:t>2</w:t>
      </w:r>
      <w:r w:rsidR="00C646FD">
        <w:rPr>
          <w:noProof/>
          <w:lang w:eastAsia="fr-FR"/>
        </w:rPr>
        <w:t>4</w:t>
      </w:r>
      <w:r w:rsidR="00C7021B">
        <w:rPr>
          <w:noProof/>
          <w:lang w:eastAsia="fr-FR"/>
        </w:rPr>
        <w:t>,</w:t>
      </w:r>
      <w:r w:rsidR="00C646FD">
        <w:rPr>
          <w:noProof/>
          <w:lang w:eastAsia="fr-FR"/>
        </w:rPr>
        <w:t>8</w:t>
      </w:r>
      <w:r w:rsidR="004E2900">
        <w:rPr>
          <w:noProof/>
          <w:lang w:eastAsia="fr-FR"/>
        </w:rPr>
        <w:t>%</w:t>
      </w:r>
      <w:r w:rsidR="004E2900" w:rsidRPr="00D903CD">
        <w:rPr>
          <w:noProof/>
          <w:lang w:eastAsia="fr-FR"/>
        </w:rPr>
        <w:t xml:space="preserve"> vs </w:t>
      </w:r>
      <w:r w:rsidR="00C646FD">
        <w:rPr>
          <w:noProof/>
          <w:lang w:eastAsia="fr-FR"/>
        </w:rPr>
        <w:t>23 ,2</w:t>
      </w:r>
      <w:r w:rsidR="004E2900" w:rsidRPr="00D903CD">
        <w:rPr>
          <w:noProof/>
          <w:lang w:eastAsia="fr-FR"/>
        </w:rPr>
        <w:t>%).</w:t>
      </w:r>
    </w:p>
    <w:p w:rsidR="004E2900" w:rsidRDefault="004E2900" w:rsidP="00477327">
      <w:pPr>
        <w:ind w:right="16"/>
        <w:jc w:val="center"/>
        <w:rPr>
          <w:i/>
        </w:rPr>
      </w:pPr>
    </w:p>
    <w:p w:rsidR="00AD5423" w:rsidRPr="00D903CD" w:rsidRDefault="00AD5423" w:rsidP="00477327">
      <w:pPr>
        <w:ind w:right="16"/>
        <w:jc w:val="center"/>
        <w:rPr>
          <w:i/>
        </w:rPr>
      </w:pPr>
      <w:r w:rsidRPr="00D903CD">
        <w:rPr>
          <w:i/>
        </w:rPr>
        <w:t>Répartition par tranche d'âge de cette tendance</w:t>
      </w:r>
    </w:p>
    <w:p w:rsidR="00AD5423" w:rsidRPr="00D903CD" w:rsidRDefault="00C646FD" w:rsidP="00AD5423">
      <w:pPr>
        <w:ind w:right="16"/>
        <w:jc w:val="center"/>
        <w:rPr>
          <w:i/>
        </w:rPr>
      </w:pPr>
      <w:r>
        <w:rPr>
          <w:noProof/>
          <w:lang w:eastAsia="fr-FR"/>
        </w:rPr>
        <w:drawing>
          <wp:inline distT="0" distB="0" distL="0" distR="0" wp14:anchorId="00B8683B" wp14:editId="3E679B92">
            <wp:extent cx="5972810" cy="2822575"/>
            <wp:effectExtent l="0" t="0" r="27940" b="15875"/>
            <wp:docPr id="3" name="Graphique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F375F" w:rsidRPr="00D903CD" w:rsidRDefault="00C646FD" w:rsidP="00BD78DB">
      <w:pPr>
        <w:ind w:right="16"/>
        <w:jc w:val="both"/>
      </w:pPr>
      <w:r>
        <w:t>Ce trimestre, l</w:t>
      </w:r>
      <w:r w:rsidR="00F94C26">
        <w:t xml:space="preserve">’ensemble </w:t>
      </w:r>
      <w:r w:rsidR="00372CC3" w:rsidRPr="00D903CD">
        <w:t xml:space="preserve">des dirigeants de TPE  </w:t>
      </w:r>
      <w:r>
        <w:t>ayant mois de 60 ans pr</w:t>
      </w:r>
      <w:r w:rsidR="00487BB4" w:rsidRPr="00D903CD">
        <w:t>évoi</w:t>
      </w:r>
      <w:r w:rsidR="002567AA" w:rsidRPr="00D903CD">
        <w:t>ent</w:t>
      </w:r>
      <w:r w:rsidR="00487BB4" w:rsidRPr="00D903CD">
        <w:t xml:space="preserve"> une </w:t>
      </w:r>
      <w:r w:rsidR="00561E06">
        <w:t xml:space="preserve">stabilité de </w:t>
      </w:r>
      <w:r w:rsidR="00487BB4" w:rsidRPr="00D903CD">
        <w:t xml:space="preserve">leur CA </w:t>
      </w:r>
      <w:r w:rsidR="00922F17" w:rsidRPr="00D903CD">
        <w:t xml:space="preserve"> (</w:t>
      </w:r>
      <w:r w:rsidR="003B17D5">
        <w:t xml:space="preserve">de </w:t>
      </w:r>
      <w:r>
        <w:t>58,</w:t>
      </w:r>
      <w:r w:rsidR="00554EA4">
        <w:t>5</w:t>
      </w:r>
      <w:r w:rsidR="003B17D5">
        <w:t xml:space="preserve">% à </w:t>
      </w:r>
      <w:r>
        <w:t>63,4</w:t>
      </w:r>
      <w:r w:rsidR="003B17D5">
        <w:t>%).</w:t>
      </w:r>
      <w:r w:rsidR="002567AA" w:rsidRPr="00D903CD">
        <w:t xml:space="preserve"> Seuls les moi</w:t>
      </w:r>
      <w:r w:rsidR="009E3D49" w:rsidRPr="00D903CD">
        <w:t>n</w:t>
      </w:r>
      <w:r w:rsidR="002567AA" w:rsidRPr="00D903CD">
        <w:t xml:space="preserve">s de </w:t>
      </w:r>
      <w:r w:rsidR="00477327">
        <w:t>40</w:t>
      </w:r>
      <w:r w:rsidR="002567AA" w:rsidRPr="00D903CD">
        <w:t xml:space="preserve"> ans </w:t>
      </w:r>
      <w:r w:rsidR="00A37C28" w:rsidRPr="00D903CD">
        <w:t>prévoi</w:t>
      </w:r>
      <w:r w:rsidR="002567AA" w:rsidRPr="00D903CD">
        <w:t xml:space="preserve">ent </w:t>
      </w:r>
      <w:r w:rsidR="00AF375F" w:rsidRPr="00D903CD">
        <w:t>un</w:t>
      </w:r>
      <w:r w:rsidR="00561E06">
        <w:t xml:space="preserve">e hausse de </w:t>
      </w:r>
      <w:r w:rsidR="00AF375F" w:rsidRPr="00D903CD">
        <w:t>CA (</w:t>
      </w:r>
      <w:r>
        <w:t>14,9</w:t>
      </w:r>
      <w:r w:rsidR="00561E06">
        <w:t xml:space="preserve">%) et </w:t>
      </w:r>
      <w:r>
        <w:t>12,7</w:t>
      </w:r>
      <w:r w:rsidR="00AF375F" w:rsidRPr="00D903CD">
        <w:t xml:space="preserve">% </w:t>
      </w:r>
      <w:r w:rsidR="00F94C26">
        <w:t>seulement</w:t>
      </w:r>
      <w:r w:rsidR="00AF375F" w:rsidRPr="00D903CD">
        <w:t xml:space="preserve"> d’entre eux prévoient une </w:t>
      </w:r>
      <w:r w:rsidR="00561E06">
        <w:t xml:space="preserve">baisse </w:t>
      </w:r>
      <w:r w:rsidR="00AF375F" w:rsidRPr="00D903CD">
        <w:t>de leur activité</w:t>
      </w:r>
      <w:r w:rsidR="002567AA" w:rsidRPr="00D903CD">
        <w:t>.</w:t>
      </w:r>
    </w:p>
    <w:p w:rsidR="00AD5423" w:rsidRDefault="002567AA" w:rsidP="00BD78DB">
      <w:pPr>
        <w:ind w:right="16"/>
        <w:jc w:val="both"/>
      </w:pPr>
      <w:r w:rsidRPr="00D903CD">
        <w:lastRenderedPageBreak/>
        <w:t xml:space="preserve">  </w:t>
      </w:r>
      <w:r w:rsidR="00A37C28" w:rsidRPr="00D903CD">
        <w:t xml:space="preserve"> </w:t>
      </w:r>
    </w:p>
    <w:p w:rsidR="00AD5423" w:rsidRPr="00D903CD" w:rsidRDefault="00AD5423" w:rsidP="00AD5423">
      <w:pPr>
        <w:ind w:right="16"/>
        <w:jc w:val="center"/>
        <w:rPr>
          <w:i/>
        </w:rPr>
      </w:pPr>
      <w:r w:rsidRPr="00D903CD">
        <w:rPr>
          <w:i/>
        </w:rPr>
        <w:t>Répartition par secteur de cette tendance</w:t>
      </w:r>
    </w:p>
    <w:p w:rsidR="003B17D5" w:rsidRPr="003B17D5" w:rsidRDefault="00C646FD" w:rsidP="003B17D5">
      <w:pPr>
        <w:tabs>
          <w:tab w:val="left" w:pos="2001"/>
        </w:tabs>
        <w:ind w:right="16"/>
        <w:jc w:val="center"/>
        <w:rPr>
          <w:i/>
        </w:rPr>
      </w:pPr>
      <w:r>
        <w:rPr>
          <w:noProof/>
          <w:lang w:eastAsia="fr-FR"/>
        </w:rPr>
        <w:drawing>
          <wp:inline distT="0" distB="0" distL="0" distR="0" wp14:anchorId="28B4D51D" wp14:editId="35B010A0">
            <wp:extent cx="5972810" cy="3051810"/>
            <wp:effectExtent l="0" t="0" r="27940" b="15240"/>
            <wp:docPr id="4" name="Graphique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B17D5" w:rsidRDefault="00331240" w:rsidP="00F22259">
      <w:pPr>
        <w:ind w:right="16"/>
      </w:pPr>
      <w:r>
        <w:t>L</w:t>
      </w:r>
      <w:r w:rsidR="003B17D5">
        <w:t>es</w:t>
      </w:r>
      <w:r w:rsidR="00C646FD">
        <w:t xml:space="preserve">  secteurs du « transports »</w:t>
      </w:r>
      <w:r w:rsidR="003B17D5">
        <w:t xml:space="preserve"> </w:t>
      </w:r>
      <w:r w:rsidR="00C646FD">
        <w:t xml:space="preserve">(17,6%) , de </w:t>
      </w:r>
      <w:r w:rsidR="003B17D5">
        <w:t>l’</w:t>
      </w:r>
      <w:r w:rsidR="006E321D">
        <w:t> «</w:t>
      </w:r>
      <w:r w:rsidR="003B17D5">
        <w:t xml:space="preserve">équipement </w:t>
      </w:r>
      <w:r w:rsidR="00832F86">
        <w:t xml:space="preserve">de la </w:t>
      </w:r>
      <w:r w:rsidR="00C646FD">
        <w:t>personne</w:t>
      </w:r>
      <w:r w:rsidR="006E321D">
        <w:t> »</w:t>
      </w:r>
      <w:r w:rsidR="00190631">
        <w:t xml:space="preserve"> </w:t>
      </w:r>
      <w:r w:rsidR="00832F86">
        <w:t xml:space="preserve"> (</w:t>
      </w:r>
      <w:r w:rsidR="00C646FD">
        <w:t>15,0</w:t>
      </w:r>
      <w:r w:rsidR="00832F86">
        <w:t>%)</w:t>
      </w:r>
      <w:r w:rsidR="001209A6">
        <w:t>,</w:t>
      </w:r>
      <w:r w:rsidR="008631E0">
        <w:t xml:space="preserve"> de </w:t>
      </w:r>
      <w:r w:rsidR="00190631">
        <w:t xml:space="preserve">la </w:t>
      </w:r>
      <w:r w:rsidR="006E321D">
        <w:t>« </w:t>
      </w:r>
      <w:r w:rsidR="00190631">
        <w:t>santé</w:t>
      </w:r>
      <w:r w:rsidR="006E321D">
        <w:t> »</w:t>
      </w:r>
      <w:r w:rsidR="00190631">
        <w:t xml:space="preserve"> (1</w:t>
      </w:r>
      <w:r w:rsidR="00C646FD">
        <w:t>4</w:t>
      </w:r>
      <w:r w:rsidR="00190631">
        <w:t>,</w:t>
      </w:r>
      <w:r w:rsidR="00C646FD">
        <w:t>5</w:t>
      </w:r>
      <w:r w:rsidR="00190631">
        <w:t xml:space="preserve">%) , </w:t>
      </w:r>
      <w:r w:rsidR="008631E0">
        <w:t xml:space="preserve">du </w:t>
      </w:r>
      <w:r w:rsidR="006E321D">
        <w:t>« </w:t>
      </w:r>
      <w:r w:rsidR="00C646FD">
        <w:t>bâtiment</w:t>
      </w:r>
      <w:r w:rsidR="006E321D">
        <w:t> » </w:t>
      </w:r>
      <w:r w:rsidR="00190631">
        <w:t>(1</w:t>
      </w:r>
      <w:r w:rsidR="00C646FD">
        <w:t>2</w:t>
      </w:r>
      <w:r w:rsidR="00190631">
        <w:t>,</w:t>
      </w:r>
      <w:r w:rsidR="00C646FD">
        <w:t>6</w:t>
      </w:r>
      <w:r w:rsidR="008631E0">
        <w:t>%) </w:t>
      </w:r>
      <w:r w:rsidR="000B198C">
        <w:t xml:space="preserve">sont les seuls à prévoir une hausse d’activité </w:t>
      </w:r>
      <w:r w:rsidR="00190631">
        <w:t xml:space="preserve">pour ce </w:t>
      </w:r>
      <w:r w:rsidR="00C646FD">
        <w:t xml:space="preserve">troisième </w:t>
      </w:r>
      <w:r w:rsidR="00190631">
        <w:t>trimestre.</w:t>
      </w:r>
      <w:r w:rsidR="005775CC">
        <w:t xml:space="preserve"> </w:t>
      </w:r>
      <w:r w:rsidR="00C646FD">
        <w:t>T</w:t>
      </w:r>
      <w:r w:rsidR="005775CC">
        <w:t xml:space="preserve">ous les autres secteurs </w:t>
      </w:r>
      <w:r w:rsidR="000B198C">
        <w:t xml:space="preserve"> </w:t>
      </w:r>
      <w:r w:rsidR="005775CC">
        <w:t>prévoient une baisse d’activité</w:t>
      </w:r>
      <w:r w:rsidR="009F7637">
        <w:t>,</w:t>
      </w:r>
      <w:r w:rsidR="005775CC">
        <w:t xml:space="preserve"> le secteur </w:t>
      </w:r>
      <w:r w:rsidR="006E321D">
        <w:t>« </w:t>
      </w:r>
      <w:r w:rsidR="00190631">
        <w:t>Café Hôtel Restaurant</w:t>
      </w:r>
      <w:r w:rsidR="006E321D">
        <w:t> »</w:t>
      </w:r>
      <w:r w:rsidR="009F7637">
        <w:t xml:space="preserve"> (</w:t>
      </w:r>
      <w:r w:rsidR="008631E0">
        <w:t>52,2</w:t>
      </w:r>
      <w:r w:rsidR="009F7637">
        <w:t>%),</w:t>
      </w:r>
      <w:r w:rsidR="008631E0">
        <w:t xml:space="preserve"> le secteur automobile (39,6%) suivis des  secteurs </w:t>
      </w:r>
      <w:r w:rsidR="009F7637">
        <w:t xml:space="preserve"> </w:t>
      </w:r>
      <w:r w:rsidR="006E321D">
        <w:t>« </w:t>
      </w:r>
      <w:r w:rsidR="008631E0">
        <w:t xml:space="preserve">culture et loisirs </w:t>
      </w:r>
      <w:r w:rsidR="006E321D">
        <w:t>»</w:t>
      </w:r>
      <w:r w:rsidR="009F7637">
        <w:t xml:space="preserve"> </w:t>
      </w:r>
      <w:r w:rsidR="006A5190">
        <w:t>(</w:t>
      </w:r>
      <w:r w:rsidR="00190631">
        <w:t>3</w:t>
      </w:r>
      <w:r w:rsidR="008631E0">
        <w:t>4</w:t>
      </w:r>
      <w:r w:rsidR="00190631">
        <w:t>,</w:t>
      </w:r>
      <w:r w:rsidR="008631E0">
        <w:t>6</w:t>
      </w:r>
      <w:r w:rsidR="00190631">
        <w:t>%</w:t>
      </w:r>
      <w:r w:rsidR="006A5190">
        <w:t>)</w:t>
      </w:r>
      <w:r w:rsidR="00190631">
        <w:t xml:space="preserve">, </w:t>
      </w:r>
      <w:r w:rsidR="008631E0">
        <w:t xml:space="preserve">et </w:t>
      </w:r>
      <w:r w:rsidR="006E321D">
        <w:t>« </w:t>
      </w:r>
      <w:r w:rsidR="008631E0">
        <w:t>commerce de détail alimentaire</w:t>
      </w:r>
      <w:r w:rsidR="006E321D">
        <w:t>»</w:t>
      </w:r>
      <w:r w:rsidR="00190631">
        <w:t xml:space="preserve"> (</w:t>
      </w:r>
      <w:r w:rsidR="008631E0">
        <w:t>34,2%), l’</w:t>
      </w:r>
      <w:r w:rsidR="00190631">
        <w:t xml:space="preserve"> </w:t>
      </w:r>
      <w:r w:rsidR="006E321D">
        <w:t>« </w:t>
      </w:r>
      <w:r w:rsidR="008631E0">
        <w:t>Equipement de la maison</w:t>
      </w:r>
      <w:r w:rsidR="006E321D">
        <w:t> »</w:t>
      </w:r>
      <w:r w:rsidR="00190631">
        <w:t xml:space="preserve"> </w:t>
      </w:r>
      <w:r w:rsidR="009F7637">
        <w:t>(</w:t>
      </w:r>
      <w:r w:rsidR="008631E0">
        <w:t>30,0</w:t>
      </w:r>
      <w:r w:rsidR="009F7637">
        <w:t>%), le</w:t>
      </w:r>
      <w:r w:rsidR="008631E0">
        <w:t>s</w:t>
      </w:r>
      <w:r w:rsidR="002F5982">
        <w:t> </w:t>
      </w:r>
      <w:r w:rsidR="006E321D">
        <w:t>« </w:t>
      </w:r>
      <w:r w:rsidR="008631E0">
        <w:t xml:space="preserve">Services </w:t>
      </w:r>
      <w:r w:rsidR="006E321D">
        <w:t>»</w:t>
      </w:r>
      <w:r w:rsidR="002F5982">
        <w:t xml:space="preserve"> (2</w:t>
      </w:r>
      <w:r w:rsidR="008631E0">
        <w:t>8</w:t>
      </w:r>
      <w:r w:rsidR="002F5982">
        <w:t>,</w:t>
      </w:r>
      <w:r w:rsidR="008631E0">
        <w:t>3%</w:t>
      </w:r>
      <w:r w:rsidR="002F5982">
        <w:t>) et</w:t>
      </w:r>
      <w:r w:rsidR="008631E0">
        <w:t xml:space="preserve"> le secteur</w:t>
      </w:r>
      <w:r w:rsidR="002F5982">
        <w:t xml:space="preserve"> </w:t>
      </w:r>
      <w:r w:rsidR="006E321D">
        <w:t>« </w:t>
      </w:r>
      <w:r w:rsidR="002F5982">
        <w:t>Beauté esthétique</w:t>
      </w:r>
      <w:r w:rsidR="006E321D">
        <w:t> »</w:t>
      </w:r>
      <w:r w:rsidR="002F5982">
        <w:t> (2</w:t>
      </w:r>
      <w:r w:rsidR="008631E0">
        <w:t>1,9</w:t>
      </w:r>
      <w:r w:rsidR="002F5982">
        <w:t>%)</w:t>
      </w:r>
      <w:r w:rsidR="006E321D">
        <w:t>.</w:t>
      </w:r>
      <w:r w:rsidR="005775CC">
        <w:t xml:space="preserve"> </w:t>
      </w:r>
    </w:p>
    <w:p w:rsidR="009F7637" w:rsidRDefault="00AD5423" w:rsidP="00AD5423">
      <w:pPr>
        <w:tabs>
          <w:tab w:val="left" w:pos="2907"/>
          <w:tab w:val="center" w:pos="5225"/>
        </w:tabs>
        <w:ind w:right="16"/>
        <w:rPr>
          <w:i/>
        </w:rPr>
      </w:pPr>
      <w:r w:rsidRPr="00D903CD">
        <w:rPr>
          <w:i/>
        </w:rPr>
        <w:tab/>
      </w:r>
      <w:r w:rsidRPr="00D903CD">
        <w:rPr>
          <w:i/>
        </w:rPr>
        <w:tab/>
      </w:r>
    </w:p>
    <w:p w:rsidR="00AD5423" w:rsidRPr="00D903CD" w:rsidRDefault="00F13685" w:rsidP="009F7637">
      <w:pPr>
        <w:tabs>
          <w:tab w:val="left" w:pos="2907"/>
          <w:tab w:val="center" w:pos="5225"/>
        </w:tabs>
        <w:ind w:right="16"/>
        <w:jc w:val="center"/>
        <w:rPr>
          <w:i/>
        </w:rPr>
      </w:pPr>
      <w:r w:rsidRPr="00D903CD">
        <w:rPr>
          <w:i/>
        </w:rPr>
        <w:t xml:space="preserve">2 - </w:t>
      </w:r>
      <w:r w:rsidR="00AD5423" w:rsidRPr="00D903CD">
        <w:rPr>
          <w:i/>
        </w:rPr>
        <w:t>Investis</w:t>
      </w:r>
      <w:r w:rsidR="00833005" w:rsidRPr="00D903CD">
        <w:rPr>
          <w:i/>
        </w:rPr>
        <w:t>s</w:t>
      </w:r>
      <w:r w:rsidR="00AD5423" w:rsidRPr="00D903CD">
        <w:rPr>
          <w:i/>
        </w:rPr>
        <w:t>ements</w:t>
      </w:r>
    </w:p>
    <w:p w:rsidR="00AD5423" w:rsidRPr="00D903CD" w:rsidRDefault="008631E0" w:rsidP="00AD5423">
      <w:pPr>
        <w:ind w:right="16"/>
        <w:jc w:val="center"/>
        <w:rPr>
          <w:i/>
        </w:rPr>
      </w:pPr>
      <w:r>
        <w:rPr>
          <w:noProof/>
          <w:lang w:eastAsia="fr-FR"/>
        </w:rPr>
        <w:drawing>
          <wp:inline distT="0" distB="0" distL="0" distR="0" wp14:anchorId="2B939828" wp14:editId="4ED0EFB7">
            <wp:extent cx="5857875" cy="3124200"/>
            <wp:effectExtent l="0" t="0" r="9525" b="19050"/>
            <wp:docPr id="5" name="Graphique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13685" w:rsidRPr="00D903CD" w:rsidRDefault="006054BC" w:rsidP="00AD5423">
      <w:pPr>
        <w:ind w:right="16"/>
      </w:pPr>
      <w:r w:rsidRPr="00D903CD">
        <w:t>L</w:t>
      </w:r>
      <w:r w:rsidR="006B1ABB" w:rsidRPr="00D903CD">
        <w:t>es</w:t>
      </w:r>
      <w:r w:rsidR="00AD5423" w:rsidRPr="00D903CD">
        <w:t xml:space="preserve"> projets d'investissement</w:t>
      </w:r>
      <w:r w:rsidR="002567AA" w:rsidRPr="00D903CD">
        <w:t>s</w:t>
      </w:r>
      <w:r w:rsidR="00AD5423" w:rsidRPr="00D903CD">
        <w:t xml:space="preserve"> </w:t>
      </w:r>
      <w:r w:rsidR="00174CDE" w:rsidRPr="00D903CD">
        <w:t xml:space="preserve"> </w:t>
      </w:r>
      <w:r w:rsidR="00561E06">
        <w:t xml:space="preserve">diminuent </w:t>
      </w:r>
      <w:r w:rsidR="009F7637">
        <w:t xml:space="preserve">légèrement  </w:t>
      </w:r>
      <w:r w:rsidR="00174CDE" w:rsidRPr="00D903CD">
        <w:t>et concernent que 1</w:t>
      </w:r>
      <w:r w:rsidR="008631E0">
        <w:t>7</w:t>
      </w:r>
      <w:r w:rsidR="00174CDE" w:rsidRPr="00D903CD">
        <w:t>,</w:t>
      </w:r>
      <w:r w:rsidR="008631E0">
        <w:t>4</w:t>
      </w:r>
      <w:r w:rsidR="00174CDE" w:rsidRPr="00D903CD">
        <w:t>% des entreprises in</w:t>
      </w:r>
      <w:r w:rsidR="00802D2B">
        <w:t>terrogées, contre 1</w:t>
      </w:r>
      <w:r w:rsidR="008631E0">
        <w:t>5</w:t>
      </w:r>
      <w:r w:rsidR="00802D2B">
        <w:t>,</w:t>
      </w:r>
      <w:r w:rsidR="008631E0">
        <w:t>7</w:t>
      </w:r>
      <w:r w:rsidR="00AD5423" w:rsidRPr="00D903CD">
        <w:t>% au trimestre précédent.</w:t>
      </w:r>
    </w:p>
    <w:p w:rsidR="00AD5423" w:rsidRDefault="00AD5423" w:rsidP="00AD5423">
      <w:pPr>
        <w:ind w:right="16"/>
        <w:jc w:val="center"/>
        <w:rPr>
          <w:noProof/>
          <w:lang w:eastAsia="fr-FR"/>
        </w:rPr>
      </w:pPr>
    </w:p>
    <w:p w:rsidR="008631E0" w:rsidRPr="00D903CD" w:rsidRDefault="008631E0" w:rsidP="00AD5423">
      <w:pPr>
        <w:ind w:right="16"/>
        <w:jc w:val="center"/>
        <w:rPr>
          <w:i/>
        </w:rPr>
      </w:pPr>
      <w:r>
        <w:rPr>
          <w:noProof/>
          <w:lang w:eastAsia="fr-FR"/>
        </w:rPr>
        <w:lastRenderedPageBreak/>
        <w:drawing>
          <wp:inline distT="0" distB="0" distL="0" distR="0" wp14:anchorId="0B1A3647" wp14:editId="6488069E">
            <wp:extent cx="5972810" cy="3033395"/>
            <wp:effectExtent l="0" t="0" r="27940" b="14605"/>
            <wp:docPr id="6" name="Graphique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D3BB2" w:rsidRPr="00D903CD" w:rsidRDefault="003D3BB2" w:rsidP="003D3BB2">
      <w:pPr>
        <w:ind w:right="16"/>
        <w:jc w:val="both"/>
      </w:pPr>
      <w:r w:rsidRPr="00D903CD">
        <w:t>Le poste « Matériel, mobilier, informatique » (</w:t>
      </w:r>
      <w:r w:rsidR="006A5190">
        <w:t>4</w:t>
      </w:r>
      <w:r w:rsidR="00125F2A">
        <w:t>2</w:t>
      </w:r>
      <w:r w:rsidR="006A5190">
        <w:t>,</w:t>
      </w:r>
      <w:r w:rsidR="00125F2A">
        <w:t>2</w:t>
      </w:r>
      <w:r w:rsidRPr="00D903CD">
        <w:t xml:space="preserve">%) est </w:t>
      </w:r>
      <w:r w:rsidR="00125F2A">
        <w:t>encore pour ce trimestre</w:t>
      </w:r>
      <w:r w:rsidRPr="00D903CD">
        <w:t>, le poste le plus concerné, suivi par le poste « Aménagements -Rénovation » (</w:t>
      </w:r>
      <w:r w:rsidR="00125F2A">
        <w:t>36,7</w:t>
      </w:r>
      <w:r w:rsidRPr="00D903CD">
        <w:t>%) et du poste « Autres investissements » (2</w:t>
      </w:r>
      <w:r w:rsidR="00125F2A">
        <w:t>4</w:t>
      </w:r>
      <w:r w:rsidRPr="00D903CD">
        <w:t>,</w:t>
      </w:r>
      <w:r w:rsidR="00125F2A">
        <w:t>7</w:t>
      </w:r>
      <w:r w:rsidRPr="00D903CD">
        <w:t xml:space="preserve">%). </w:t>
      </w:r>
    </w:p>
    <w:p w:rsidR="00E328DC" w:rsidRPr="00D903CD" w:rsidRDefault="00E328DC" w:rsidP="00AD5423">
      <w:pPr>
        <w:ind w:right="16"/>
        <w:jc w:val="center"/>
        <w:rPr>
          <w:i/>
        </w:rPr>
      </w:pPr>
    </w:p>
    <w:p w:rsidR="00AD5423" w:rsidRPr="00D903CD" w:rsidRDefault="00AD5423" w:rsidP="00AD5423">
      <w:pPr>
        <w:ind w:right="16"/>
        <w:jc w:val="center"/>
        <w:rPr>
          <w:i/>
        </w:rPr>
      </w:pPr>
      <w:r w:rsidRPr="00D903CD">
        <w:rPr>
          <w:i/>
        </w:rPr>
        <w:t>Profil des investisseurs</w:t>
      </w:r>
    </w:p>
    <w:p w:rsidR="00E328DC" w:rsidRPr="00D903CD" w:rsidRDefault="007C34DE" w:rsidP="00AD5423">
      <w:pPr>
        <w:ind w:right="16"/>
        <w:jc w:val="center"/>
        <w:rPr>
          <w:i/>
        </w:rPr>
      </w:pPr>
      <w:r>
        <w:rPr>
          <w:noProof/>
          <w:lang w:eastAsia="fr-FR"/>
        </w:rPr>
        <w:drawing>
          <wp:inline distT="0" distB="0" distL="0" distR="0" wp14:anchorId="5A848C3A" wp14:editId="0953C322">
            <wp:extent cx="5829300" cy="2733675"/>
            <wp:effectExtent l="0" t="0" r="19050" b="9525"/>
            <wp:docPr id="7" name="Graphique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D5423" w:rsidRPr="00D903CD" w:rsidRDefault="00F955CE" w:rsidP="00BD78DB">
      <w:pPr>
        <w:ind w:right="16"/>
        <w:jc w:val="both"/>
      </w:pPr>
      <w:r w:rsidRPr="00D903CD">
        <w:t xml:space="preserve">Les </w:t>
      </w:r>
      <w:r w:rsidR="00AD5423" w:rsidRPr="00D903CD">
        <w:t xml:space="preserve">chefs d'entreprises qui investissent le plus ont </w:t>
      </w:r>
      <w:r w:rsidR="008D0AB4" w:rsidRPr="00D903CD">
        <w:t xml:space="preserve">moins de </w:t>
      </w:r>
      <w:r w:rsidR="006A5190">
        <w:t>5</w:t>
      </w:r>
      <w:r w:rsidR="0058651A" w:rsidRPr="00D903CD">
        <w:t>0 ans</w:t>
      </w:r>
      <w:r w:rsidR="00BD78DB" w:rsidRPr="00D903CD">
        <w:t xml:space="preserve"> </w:t>
      </w:r>
      <w:r w:rsidR="00AD5423" w:rsidRPr="00D903CD">
        <w:t>et viennent principalement d</w:t>
      </w:r>
      <w:r w:rsidR="006B1ABB" w:rsidRPr="00D903CD">
        <w:t>es</w:t>
      </w:r>
      <w:r w:rsidR="00AD5423" w:rsidRPr="00D903CD">
        <w:t xml:space="preserve"> secteur</w:t>
      </w:r>
      <w:r w:rsidR="006B1ABB" w:rsidRPr="00D903CD">
        <w:t>s</w:t>
      </w:r>
      <w:r w:rsidR="000800DE" w:rsidRPr="00D903CD">
        <w:t xml:space="preserve"> </w:t>
      </w:r>
      <w:r w:rsidR="00BD78DB" w:rsidRPr="00D903CD">
        <w:t>«</w:t>
      </w:r>
      <w:r w:rsidR="007C34DE">
        <w:t>Equipement de la personne</w:t>
      </w:r>
      <w:r w:rsidR="005E449F" w:rsidRPr="00D903CD">
        <w:t xml:space="preserve"> » pour </w:t>
      </w:r>
      <w:r w:rsidR="002F5982">
        <w:t>2</w:t>
      </w:r>
      <w:r w:rsidR="007C34DE">
        <w:t>8,0</w:t>
      </w:r>
      <w:r w:rsidR="00174CDE" w:rsidRPr="00D903CD">
        <w:t xml:space="preserve"> %,</w:t>
      </w:r>
      <w:r w:rsidR="00DF37C5">
        <w:t xml:space="preserve"> </w:t>
      </w:r>
      <w:r w:rsidR="001525D6">
        <w:t xml:space="preserve">suivis du secteur </w:t>
      </w:r>
      <w:r w:rsidR="00DF37C5">
        <w:t>« </w:t>
      </w:r>
      <w:r w:rsidR="007C34DE">
        <w:t>Santé</w:t>
      </w:r>
      <w:r w:rsidR="00DF37C5">
        <w:t> »</w:t>
      </w:r>
      <w:r w:rsidR="007C34DE">
        <w:t xml:space="preserve">  (26,8%) </w:t>
      </w:r>
      <w:r w:rsidR="001525D6">
        <w:t xml:space="preserve">et </w:t>
      </w:r>
      <w:r w:rsidR="00174CDE" w:rsidRPr="00D903CD">
        <w:t>«</w:t>
      </w:r>
      <w:r w:rsidR="007C34DE">
        <w:t>Culture et Loisirs »</w:t>
      </w:r>
      <w:r w:rsidR="005E449F" w:rsidRPr="00D903CD">
        <w:t xml:space="preserve"> </w:t>
      </w:r>
      <w:r w:rsidR="007C34DE">
        <w:t>25,0</w:t>
      </w:r>
      <w:r w:rsidR="001525D6">
        <w:t xml:space="preserve">%  </w:t>
      </w:r>
      <w:r w:rsidR="006B1ABB" w:rsidRPr="00D903CD">
        <w:t>et</w:t>
      </w:r>
      <w:r w:rsidR="00437C0D" w:rsidRPr="00D903CD">
        <w:t xml:space="preserve"> «</w:t>
      </w:r>
      <w:r w:rsidR="007C34DE">
        <w:t xml:space="preserve">commerce de détail alimentaire </w:t>
      </w:r>
      <w:r w:rsidR="00174CDE" w:rsidRPr="00D903CD">
        <w:t>» p</w:t>
      </w:r>
      <w:r w:rsidR="0085453B" w:rsidRPr="00D903CD">
        <w:t xml:space="preserve">our </w:t>
      </w:r>
      <w:r w:rsidR="007C34DE">
        <w:t>21,6</w:t>
      </w:r>
      <w:r w:rsidR="0085453B" w:rsidRPr="00D903CD">
        <w:t>%</w:t>
      </w:r>
      <w:r w:rsidR="00DF37C5">
        <w:t>. Le secteur « </w:t>
      </w:r>
      <w:r w:rsidR="00487810">
        <w:t xml:space="preserve">Auto </w:t>
      </w:r>
      <w:r w:rsidR="00DF37C5">
        <w:t xml:space="preserve">» arrive en dernier avec </w:t>
      </w:r>
      <w:r w:rsidR="0085453B" w:rsidRPr="00D903CD">
        <w:t xml:space="preserve"> </w:t>
      </w:r>
      <w:r w:rsidR="007C34DE">
        <w:t>2</w:t>
      </w:r>
      <w:r w:rsidR="00487810">
        <w:t>,1</w:t>
      </w:r>
      <w:r w:rsidR="00DF37C5">
        <w:t>%.</w:t>
      </w:r>
    </w:p>
    <w:p w:rsidR="00F1713D" w:rsidRPr="00D903CD" w:rsidRDefault="00F1713D" w:rsidP="001A3A05">
      <w:pPr>
        <w:ind w:right="16"/>
        <w:jc w:val="center"/>
        <w:rPr>
          <w:i/>
        </w:rPr>
      </w:pPr>
    </w:p>
    <w:p w:rsidR="00A278C9" w:rsidRPr="00D903CD" w:rsidRDefault="00A278C9" w:rsidP="001A3A05">
      <w:pPr>
        <w:ind w:right="16"/>
        <w:jc w:val="center"/>
        <w:rPr>
          <w:i/>
        </w:rPr>
      </w:pPr>
    </w:p>
    <w:p w:rsidR="00BA61AF" w:rsidRPr="00D903CD" w:rsidRDefault="00BA61AF" w:rsidP="001A3A05">
      <w:pPr>
        <w:ind w:right="16"/>
        <w:jc w:val="center"/>
        <w:rPr>
          <w:i/>
        </w:rPr>
      </w:pPr>
    </w:p>
    <w:p w:rsidR="00BA61AF" w:rsidRPr="00D903CD" w:rsidRDefault="007C34DE" w:rsidP="001A3A05">
      <w:pPr>
        <w:ind w:right="16"/>
        <w:jc w:val="center"/>
        <w:rPr>
          <w:i/>
        </w:rPr>
      </w:pPr>
      <w:r>
        <w:rPr>
          <w:noProof/>
          <w:lang w:eastAsia="fr-FR"/>
        </w:rPr>
        <w:lastRenderedPageBreak/>
        <w:drawing>
          <wp:inline distT="0" distB="0" distL="0" distR="0" wp14:anchorId="6439FE68" wp14:editId="18FCD8BC">
            <wp:extent cx="5972810" cy="3481705"/>
            <wp:effectExtent l="0" t="0" r="27940" b="23495"/>
            <wp:docPr id="1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C2952" w:rsidRPr="00D903CD" w:rsidRDefault="002C2952" w:rsidP="001A3A05">
      <w:pPr>
        <w:ind w:right="16"/>
        <w:jc w:val="center"/>
        <w:rPr>
          <w:i/>
        </w:rPr>
      </w:pPr>
    </w:p>
    <w:p w:rsidR="001A3A05" w:rsidRPr="00D903CD" w:rsidRDefault="001A3A05" w:rsidP="001A3A05">
      <w:pPr>
        <w:ind w:right="16"/>
        <w:jc w:val="center"/>
        <w:rPr>
          <w:i/>
        </w:rPr>
      </w:pPr>
      <w:r w:rsidRPr="00D903CD">
        <w:rPr>
          <w:i/>
        </w:rPr>
        <w:t>3 - Effectif actuel et variation d’effectif au cours des 3 derniers mois</w:t>
      </w:r>
      <w:r w:rsidR="00F13685" w:rsidRPr="00D903CD">
        <w:rPr>
          <w:i/>
        </w:rPr>
        <w:t xml:space="preserve"> et des 3 prochains mois </w:t>
      </w:r>
    </w:p>
    <w:p w:rsidR="00AD5423" w:rsidRPr="00D903CD" w:rsidRDefault="00AD5423" w:rsidP="00BD78DB">
      <w:pPr>
        <w:ind w:right="16"/>
        <w:jc w:val="both"/>
      </w:pPr>
      <w:r w:rsidRPr="00D903CD">
        <w:t xml:space="preserve">L’effectif moyen </w:t>
      </w:r>
      <w:r w:rsidR="00AF67BF" w:rsidRPr="00D903CD">
        <w:t xml:space="preserve"> actuel </w:t>
      </w:r>
      <w:r w:rsidRPr="00D903CD">
        <w:t xml:space="preserve">est de </w:t>
      </w:r>
      <w:r w:rsidR="009B5386">
        <w:t>0,80</w:t>
      </w:r>
      <w:r w:rsidR="001A19BE" w:rsidRPr="00D903CD">
        <w:t xml:space="preserve">. Pour </w:t>
      </w:r>
      <w:r w:rsidR="004129BF">
        <w:t xml:space="preserve">ce </w:t>
      </w:r>
      <w:r w:rsidR="009B5386">
        <w:t>troisième trimes</w:t>
      </w:r>
      <w:r w:rsidR="00DF37C5">
        <w:t>tre 2021</w:t>
      </w:r>
      <w:r w:rsidR="00621D32" w:rsidRPr="00D903CD">
        <w:t xml:space="preserve">, </w:t>
      </w:r>
      <w:r w:rsidR="001A19BE" w:rsidRPr="00D903CD">
        <w:t xml:space="preserve">le </w:t>
      </w:r>
      <w:r w:rsidRPr="00D903CD">
        <w:t xml:space="preserve">secteur </w:t>
      </w:r>
      <w:r w:rsidR="00BD78DB" w:rsidRPr="00D903CD">
        <w:t>«</w:t>
      </w:r>
      <w:r w:rsidR="00621D32" w:rsidRPr="00D903CD">
        <w:t>Bâtiment</w:t>
      </w:r>
      <w:r w:rsidR="001A19BE" w:rsidRPr="00D903CD">
        <w:t xml:space="preserve"> </w:t>
      </w:r>
      <w:r w:rsidRPr="00D903CD">
        <w:t xml:space="preserve">» </w:t>
      </w:r>
      <w:r w:rsidR="008F5B7E" w:rsidRPr="00D903CD">
        <w:t xml:space="preserve"> </w:t>
      </w:r>
      <w:r w:rsidRPr="00D903CD">
        <w:t>est celui qui recense</w:t>
      </w:r>
      <w:r w:rsidR="00961756" w:rsidRPr="00D903CD">
        <w:t xml:space="preserve"> </w:t>
      </w:r>
      <w:r w:rsidRPr="00D903CD">
        <w:t>le plus d’effectif (</w:t>
      </w:r>
      <w:r w:rsidR="006B0117">
        <w:t>1</w:t>
      </w:r>
      <w:r w:rsidR="009B5386">
        <w:t>5</w:t>
      </w:r>
      <w:r w:rsidR="006B0117">
        <w:t>,0</w:t>
      </w:r>
      <w:r w:rsidR="001A19BE" w:rsidRPr="00D903CD">
        <w:t>%</w:t>
      </w:r>
      <w:r w:rsidRPr="00D903CD">
        <w:t>)</w:t>
      </w:r>
      <w:r w:rsidR="00BD78DB" w:rsidRPr="00D903CD">
        <w:t xml:space="preserve"> </w:t>
      </w:r>
      <w:r w:rsidRPr="00D903CD">
        <w:t>suivi</w:t>
      </w:r>
      <w:r w:rsidR="004129BF">
        <w:t>s</w:t>
      </w:r>
      <w:r w:rsidRPr="00D903CD">
        <w:t xml:space="preserve"> </w:t>
      </w:r>
      <w:r w:rsidR="000800DE" w:rsidRPr="00D903CD">
        <w:t>d</w:t>
      </w:r>
      <w:r w:rsidR="00D647A7" w:rsidRPr="00D903CD">
        <w:t>es</w:t>
      </w:r>
      <w:r w:rsidR="000800DE" w:rsidRPr="00D903CD">
        <w:t xml:space="preserve"> </w:t>
      </w:r>
      <w:r w:rsidR="00BB6FF5" w:rsidRPr="00D903CD">
        <w:t>secteur</w:t>
      </w:r>
      <w:r w:rsidR="00D647A7" w:rsidRPr="00D903CD">
        <w:t>s</w:t>
      </w:r>
      <w:r w:rsidR="004129BF">
        <w:t xml:space="preserve"> </w:t>
      </w:r>
      <w:r w:rsidR="00BB6FF5" w:rsidRPr="00D903CD">
        <w:t>«</w:t>
      </w:r>
      <w:r w:rsidR="00B95D7D" w:rsidRPr="00D903CD">
        <w:t>Santé</w:t>
      </w:r>
      <w:r w:rsidR="00BB6FF5" w:rsidRPr="00D903CD">
        <w:t>»</w:t>
      </w:r>
      <w:r w:rsidR="006B0117">
        <w:t xml:space="preserve"> </w:t>
      </w:r>
      <w:r w:rsidR="00CF4072" w:rsidRPr="00D903CD">
        <w:t>et «</w:t>
      </w:r>
      <w:r w:rsidR="009B5386">
        <w:t xml:space="preserve"> Commerce de détail alimentaire</w:t>
      </w:r>
      <w:r w:rsidR="00CF4072" w:rsidRPr="00D903CD">
        <w:t> »</w:t>
      </w:r>
      <w:r w:rsidR="006B0117">
        <w:t xml:space="preserve"> </w:t>
      </w:r>
      <w:r w:rsidR="001A19BE" w:rsidRPr="00D903CD">
        <w:t xml:space="preserve">qui </w:t>
      </w:r>
      <w:r w:rsidR="000269B8" w:rsidRPr="00D903CD">
        <w:t>affiche</w:t>
      </w:r>
      <w:r w:rsidR="001A19BE" w:rsidRPr="00D903CD">
        <w:t xml:space="preserve">nt </w:t>
      </w:r>
      <w:r w:rsidR="000269B8" w:rsidRPr="00D903CD">
        <w:t xml:space="preserve"> </w:t>
      </w:r>
      <w:r w:rsidR="00951540" w:rsidRPr="00D903CD">
        <w:t xml:space="preserve">respectivement </w:t>
      </w:r>
      <w:r w:rsidRPr="00D903CD">
        <w:t>(</w:t>
      </w:r>
      <w:r w:rsidR="009B5386">
        <w:t>8</w:t>
      </w:r>
      <w:r w:rsidR="006B0117">
        <w:t>,</w:t>
      </w:r>
      <w:r w:rsidR="009B5386">
        <w:t>1</w:t>
      </w:r>
      <w:r w:rsidR="001A19BE" w:rsidRPr="00D903CD">
        <w:t xml:space="preserve">%  et </w:t>
      </w:r>
      <w:r w:rsidR="009B5386">
        <w:t>6,2</w:t>
      </w:r>
      <w:r w:rsidRPr="00D903CD">
        <w:t>%</w:t>
      </w:r>
      <w:r w:rsidR="002978EC" w:rsidRPr="00D903CD">
        <w:t>)</w:t>
      </w:r>
      <w:r w:rsidR="00A657C5" w:rsidRPr="00D903CD">
        <w:t>.</w:t>
      </w:r>
      <w:r w:rsidR="00951540" w:rsidRPr="00D903CD">
        <w:t xml:space="preserve"> </w:t>
      </w:r>
      <w:r w:rsidR="00A657C5" w:rsidRPr="00D903CD">
        <w:t>L</w:t>
      </w:r>
      <w:r w:rsidR="00BD78DB" w:rsidRPr="00D903CD">
        <w:t>e secteur «</w:t>
      </w:r>
      <w:r w:rsidR="009B5386">
        <w:t>Culture et Loisirs</w:t>
      </w:r>
      <w:r w:rsidR="000800DE" w:rsidRPr="00D903CD">
        <w:t>»</w:t>
      </w:r>
      <w:r w:rsidR="00BD78DB" w:rsidRPr="00D903CD">
        <w:t xml:space="preserve"> </w:t>
      </w:r>
      <w:r w:rsidRPr="00D903CD">
        <w:t xml:space="preserve">arrive en dernier avec </w:t>
      </w:r>
      <w:r w:rsidR="009B5386">
        <w:t>1</w:t>
      </w:r>
      <w:r w:rsidR="00CF4072" w:rsidRPr="00D903CD">
        <w:t>,</w:t>
      </w:r>
      <w:r w:rsidR="009B5386">
        <w:t>0</w:t>
      </w:r>
      <w:r w:rsidRPr="00D903CD">
        <w:t>%.</w:t>
      </w:r>
    </w:p>
    <w:p w:rsidR="00AD5423" w:rsidRPr="00D903CD" w:rsidRDefault="00AD5423" w:rsidP="00BD78DB">
      <w:pPr>
        <w:ind w:right="16"/>
        <w:jc w:val="both"/>
      </w:pPr>
      <w:r w:rsidRPr="00D903CD">
        <w:t xml:space="preserve">Au cours des 3 </w:t>
      </w:r>
      <w:r w:rsidR="00F44D74" w:rsidRPr="00D903CD">
        <w:t xml:space="preserve">derniers </w:t>
      </w:r>
      <w:r w:rsidRPr="00D903CD">
        <w:t xml:space="preserve">mois </w:t>
      </w:r>
      <w:r w:rsidR="002F5982">
        <w:t>4</w:t>
      </w:r>
      <w:r w:rsidR="009B5386">
        <w:t>3</w:t>
      </w:r>
      <w:r w:rsidR="002F5982">
        <w:t>,</w:t>
      </w:r>
      <w:r w:rsidR="009B5386">
        <w:t>9</w:t>
      </w:r>
      <w:r w:rsidRPr="00D903CD">
        <w:t xml:space="preserve">% des entreprises interrogées ont vu leur effectif varier à la hausse (en moyenne </w:t>
      </w:r>
      <w:r w:rsidR="0003038D" w:rsidRPr="00D903CD">
        <w:t>0</w:t>
      </w:r>
      <w:r w:rsidR="00120075">
        <w:t>,</w:t>
      </w:r>
      <w:r w:rsidR="00DF37C5">
        <w:t>6</w:t>
      </w:r>
      <w:r w:rsidR="009B5386">
        <w:t>7</w:t>
      </w:r>
      <w:r w:rsidR="00CF4072" w:rsidRPr="00D903CD">
        <w:t xml:space="preserve"> </w:t>
      </w:r>
      <w:r w:rsidRPr="00D903CD">
        <w:t>personne)</w:t>
      </w:r>
      <w:r w:rsidR="00BD78DB" w:rsidRPr="00D903CD">
        <w:t xml:space="preserve"> </w:t>
      </w:r>
      <w:r w:rsidRPr="00D903CD">
        <w:t xml:space="preserve">et </w:t>
      </w:r>
      <w:r w:rsidR="009B5386">
        <w:t>56</w:t>
      </w:r>
      <w:r w:rsidR="002F5982">
        <w:t>,</w:t>
      </w:r>
      <w:r w:rsidR="009B5386">
        <w:t>1</w:t>
      </w:r>
      <w:r w:rsidR="006B3692" w:rsidRPr="00D903CD">
        <w:t xml:space="preserve"> </w:t>
      </w:r>
      <w:r w:rsidRPr="00D903CD">
        <w:t>% à la baisse (en moyenne</w:t>
      </w:r>
      <w:r w:rsidR="00BD78DB" w:rsidRPr="00D903CD">
        <w:t xml:space="preserve"> </w:t>
      </w:r>
      <w:r w:rsidR="009B5386">
        <w:t>1</w:t>
      </w:r>
      <w:r w:rsidR="002F5982">
        <w:t>,</w:t>
      </w:r>
      <w:r w:rsidR="009B5386">
        <w:t>34</w:t>
      </w:r>
      <w:r w:rsidR="00961756" w:rsidRPr="00D903CD">
        <w:t xml:space="preserve"> </w:t>
      </w:r>
      <w:r w:rsidR="00BD78DB" w:rsidRPr="00D903CD">
        <w:t>personne</w:t>
      </w:r>
      <w:r w:rsidR="002F5982">
        <w:t>s</w:t>
      </w:r>
      <w:r w:rsidR="00BD78DB" w:rsidRPr="00D903CD">
        <w:t>).</w:t>
      </w:r>
    </w:p>
    <w:p w:rsidR="005E206A" w:rsidRPr="00D903CD" w:rsidRDefault="005E206A" w:rsidP="00ED32D4">
      <w:pPr>
        <w:ind w:right="16"/>
        <w:jc w:val="center"/>
      </w:pPr>
    </w:p>
    <w:p w:rsidR="00AD5423" w:rsidRPr="00D903CD" w:rsidRDefault="009B5386" w:rsidP="00AD5423">
      <w:pPr>
        <w:ind w:right="16"/>
        <w:jc w:val="center"/>
        <w:rPr>
          <w:i/>
        </w:rPr>
      </w:pPr>
      <w:r>
        <w:rPr>
          <w:noProof/>
          <w:lang w:eastAsia="fr-FR"/>
        </w:rPr>
        <w:drawing>
          <wp:inline distT="0" distB="0" distL="0" distR="0" wp14:anchorId="5526D552" wp14:editId="20E63E46">
            <wp:extent cx="5764695" cy="3013544"/>
            <wp:effectExtent l="0" t="0" r="26670" b="15875"/>
            <wp:docPr id="9" name="Graphique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792186" w:rsidRPr="00D903CD">
        <w:rPr>
          <w:i/>
        </w:rPr>
        <w:br w:type="page"/>
      </w:r>
      <w:r w:rsidR="00AD5423" w:rsidRPr="00D903CD">
        <w:rPr>
          <w:i/>
        </w:rPr>
        <w:lastRenderedPageBreak/>
        <w:t>Prévision d'embauche dans les 3 prochains mois</w:t>
      </w:r>
    </w:p>
    <w:p w:rsidR="00CF3E05" w:rsidRPr="00D903CD" w:rsidRDefault="00B775FA" w:rsidP="00AD5423">
      <w:pPr>
        <w:ind w:right="16"/>
        <w:jc w:val="center"/>
        <w:rPr>
          <w:i/>
        </w:rPr>
      </w:pPr>
      <w:r>
        <w:rPr>
          <w:noProof/>
          <w:lang w:eastAsia="fr-FR"/>
        </w:rPr>
        <w:drawing>
          <wp:inline distT="0" distB="0" distL="0" distR="0" wp14:anchorId="1CC8F926" wp14:editId="6F27EE03">
            <wp:extent cx="5514975" cy="3009900"/>
            <wp:effectExtent l="0" t="0" r="9525" b="19050"/>
            <wp:docPr id="10" name="Graphique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D5423" w:rsidRPr="00D903CD" w:rsidRDefault="00CF3E05" w:rsidP="00BD78DB">
      <w:pPr>
        <w:ind w:right="16"/>
        <w:jc w:val="both"/>
      </w:pPr>
      <w:r w:rsidRPr="00D903CD">
        <w:t xml:space="preserve">Au cours </w:t>
      </w:r>
      <w:r w:rsidR="00D446D1" w:rsidRPr="00D903CD">
        <w:t xml:space="preserve">de </w:t>
      </w:r>
      <w:r w:rsidR="005D4F0C" w:rsidRPr="00D903CD">
        <w:t xml:space="preserve">ce </w:t>
      </w:r>
      <w:r w:rsidR="00B775FA">
        <w:t xml:space="preserve">troisième </w:t>
      </w:r>
      <w:r w:rsidR="002B15C5">
        <w:t>trimestre 2021</w:t>
      </w:r>
      <w:r w:rsidR="00A657C5" w:rsidRPr="00D903CD">
        <w:t xml:space="preserve">, </w:t>
      </w:r>
      <w:r w:rsidR="00EA5C82">
        <w:t>10</w:t>
      </w:r>
      <w:r w:rsidR="00F93F29" w:rsidRPr="00D903CD">
        <w:t>,</w:t>
      </w:r>
      <w:r w:rsidR="00B775FA">
        <w:t>4</w:t>
      </w:r>
      <w:r w:rsidR="004F7F5A" w:rsidRPr="00D903CD">
        <w:t xml:space="preserve">% </w:t>
      </w:r>
      <w:r w:rsidR="00A657C5" w:rsidRPr="00D903CD">
        <w:t xml:space="preserve">des entreprises interrogées </w:t>
      </w:r>
      <w:r w:rsidR="00AD5423" w:rsidRPr="00D903CD">
        <w:t>souhaitent recruter, en moyenne</w:t>
      </w:r>
      <w:r w:rsidR="00BD78DB" w:rsidRPr="00D903CD">
        <w:t xml:space="preserve"> </w:t>
      </w:r>
      <w:r w:rsidR="00120075">
        <w:t>0,</w:t>
      </w:r>
      <w:r w:rsidR="00B775FA">
        <w:t xml:space="preserve">75 </w:t>
      </w:r>
      <w:r w:rsidR="00AD5423" w:rsidRPr="00D903CD">
        <w:t xml:space="preserve">personne. Les secteurs les plus concernés sont le secteur </w:t>
      </w:r>
      <w:r w:rsidR="00B775FA">
        <w:t>«Hôtel café Restaurant</w:t>
      </w:r>
      <w:r w:rsidR="002B15C5">
        <w:t>»</w:t>
      </w:r>
      <w:r w:rsidR="006A607E">
        <w:t xml:space="preserve"> </w:t>
      </w:r>
      <w:r w:rsidR="00B775FA">
        <w:t>27,7</w:t>
      </w:r>
      <w:r w:rsidR="006A607E">
        <w:t>%</w:t>
      </w:r>
      <w:r w:rsidR="002B15C5">
        <w:t xml:space="preserve"> et «</w:t>
      </w:r>
      <w:r w:rsidR="00B775FA">
        <w:t xml:space="preserve"> Culture et loisirs »</w:t>
      </w:r>
      <w:r w:rsidR="004B1492" w:rsidRPr="00D903CD">
        <w:t xml:space="preserve"> </w:t>
      </w:r>
      <w:r w:rsidR="00B775FA">
        <w:t>21,4</w:t>
      </w:r>
      <w:r w:rsidR="00D86623">
        <w:t>%</w:t>
      </w:r>
      <w:r w:rsidR="009E04C6">
        <w:t xml:space="preserve"> de la profession suivis des </w:t>
      </w:r>
      <w:r w:rsidR="00AD5423" w:rsidRPr="00D903CD">
        <w:t>secteur</w:t>
      </w:r>
      <w:r w:rsidR="00913806">
        <w:t>s</w:t>
      </w:r>
      <w:r w:rsidR="00EA5C82">
        <w:t xml:space="preserve"> </w:t>
      </w:r>
      <w:r w:rsidR="00EA5C82" w:rsidRPr="00D903CD">
        <w:t>«</w:t>
      </w:r>
      <w:r w:rsidR="00913806">
        <w:t>Services</w:t>
      </w:r>
      <w:r w:rsidR="00EA5C82" w:rsidRPr="00D903CD">
        <w:t xml:space="preserve">» </w:t>
      </w:r>
      <w:r w:rsidR="00913806">
        <w:t>17,5</w:t>
      </w:r>
      <w:r w:rsidR="00EA5C82">
        <w:t xml:space="preserve">%, </w:t>
      </w:r>
      <w:r w:rsidR="00EA5C82" w:rsidRPr="00D903CD">
        <w:t>«</w:t>
      </w:r>
      <w:r w:rsidR="00852F6C">
        <w:t>C</w:t>
      </w:r>
      <w:r w:rsidR="00913806">
        <w:t>ommerce de détail alimentaire</w:t>
      </w:r>
      <w:r w:rsidR="00EA5C82" w:rsidRPr="00D903CD">
        <w:t xml:space="preserve">» </w:t>
      </w:r>
      <w:r w:rsidR="00EA5C82">
        <w:t>1</w:t>
      </w:r>
      <w:r w:rsidR="00913806">
        <w:t>7</w:t>
      </w:r>
      <w:r w:rsidR="00D120E5">
        <w:t>,</w:t>
      </w:r>
      <w:r w:rsidR="00852F6C">
        <w:t>6</w:t>
      </w:r>
      <w:r w:rsidR="00913806">
        <w:t>1</w:t>
      </w:r>
      <w:r w:rsidR="00852F6C">
        <w:t xml:space="preserve">%. </w:t>
      </w:r>
    </w:p>
    <w:p w:rsidR="00AD5423" w:rsidRPr="00D903CD" w:rsidRDefault="00AD5423" w:rsidP="00AD5423">
      <w:pPr>
        <w:ind w:right="16"/>
        <w:jc w:val="center"/>
        <w:rPr>
          <w:i/>
        </w:rPr>
      </w:pPr>
    </w:p>
    <w:p w:rsidR="00AD5423" w:rsidRPr="00D903CD" w:rsidRDefault="00AD5423" w:rsidP="00AD5423">
      <w:pPr>
        <w:ind w:right="16"/>
        <w:jc w:val="center"/>
        <w:rPr>
          <w:i/>
        </w:rPr>
      </w:pPr>
      <w:r w:rsidRPr="00D903CD">
        <w:rPr>
          <w:i/>
        </w:rPr>
        <w:t>Prévisions de Licenciement dans les 3 prochains mois</w:t>
      </w:r>
    </w:p>
    <w:p w:rsidR="009F7B94" w:rsidRPr="00D903CD" w:rsidRDefault="00913806" w:rsidP="009F7B94">
      <w:pPr>
        <w:ind w:right="16"/>
        <w:jc w:val="center"/>
      </w:pPr>
      <w:r>
        <w:rPr>
          <w:noProof/>
          <w:lang w:eastAsia="fr-FR"/>
        </w:rPr>
        <w:drawing>
          <wp:inline distT="0" distB="0" distL="0" distR="0" wp14:anchorId="708F7AB0" wp14:editId="21F7932C">
            <wp:extent cx="5314950" cy="2705100"/>
            <wp:effectExtent l="0" t="0" r="19050" b="19050"/>
            <wp:docPr id="11" name="Graphique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D5423" w:rsidRPr="00D903CD" w:rsidRDefault="005D4F0C" w:rsidP="00913806">
      <w:pPr>
        <w:pStyle w:val="Paragraphedeliste"/>
        <w:numPr>
          <w:ilvl w:val="0"/>
          <w:numId w:val="15"/>
        </w:numPr>
        <w:ind w:right="16"/>
      </w:pPr>
      <w:r w:rsidRPr="00D903CD">
        <w:t xml:space="preserve">Ce </w:t>
      </w:r>
      <w:r w:rsidR="00AD5423" w:rsidRPr="00D903CD">
        <w:t xml:space="preserve"> trimestre</w:t>
      </w:r>
      <w:r w:rsidR="009D4828" w:rsidRPr="00D903CD">
        <w:t xml:space="preserve"> </w:t>
      </w:r>
      <w:r w:rsidR="004B1287" w:rsidRPr="00D903CD">
        <w:t xml:space="preserve"> </w:t>
      </w:r>
      <w:r w:rsidR="00EA779C">
        <w:t xml:space="preserve">encore </w:t>
      </w:r>
      <w:r w:rsidR="00913806">
        <w:t>2</w:t>
      </w:r>
      <w:r w:rsidR="006A607E">
        <w:t>,</w:t>
      </w:r>
      <w:r w:rsidR="00913806">
        <w:t>1</w:t>
      </w:r>
      <w:r w:rsidR="00D647A7" w:rsidRPr="00D903CD">
        <w:t xml:space="preserve"> </w:t>
      </w:r>
      <w:r w:rsidR="00AD5423" w:rsidRPr="00D903CD">
        <w:t xml:space="preserve">% </w:t>
      </w:r>
      <w:r w:rsidR="00A278C9" w:rsidRPr="00D903CD">
        <w:t>d</w:t>
      </w:r>
      <w:r w:rsidR="00AD5423" w:rsidRPr="00D903CD">
        <w:t>es entreprises envisagent au moins un licenciement</w:t>
      </w:r>
      <w:r w:rsidRPr="00D903CD">
        <w:t xml:space="preserve"> </w:t>
      </w:r>
      <w:r w:rsidR="00EA779C">
        <w:t xml:space="preserve"> comme pour </w:t>
      </w:r>
      <w:r w:rsidR="004B1492" w:rsidRPr="00D903CD">
        <w:t>le trimestre précédent</w:t>
      </w:r>
      <w:r w:rsidR="00BD78DB" w:rsidRPr="00D903CD">
        <w:t xml:space="preserve">. </w:t>
      </w:r>
      <w:r w:rsidR="00AD5423" w:rsidRPr="00D903CD">
        <w:t xml:space="preserve">Cela représenterait </w:t>
      </w:r>
      <w:r w:rsidR="00913806">
        <w:t xml:space="preserve"> 1,4</w:t>
      </w:r>
      <w:r w:rsidR="00BD78DB" w:rsidRPr="00D903CD">
        <w:t xml:space="preserve"> </w:t>
      </w:r>
      <w:r w:rsidR="00AD5423" w:rsidRPr="00D903CD">
        <w:t>poste supprimé</w:t>
      </w:r>
      <w:r w:rsidR="00D84993" w:rsidRPr="00D903CD">
        <w:t>. L</w:t>
      </w:r>
      <w:r w:rsidR="00AD5423" w:rsidRPr="00D903CD">
        <w:t>es secteurs les plus concernés sont le</w:t>
      </w:r>
      <w:r w:rsidR="0018477D" w:rsidRPr="00D903CD">
        <w:t>s</w:t>
      </w:r>
      <w:r w:rsidR="00AD5423" w:rsidRPr="00D903CD">
        <w:t xml:space="preserve"> secteur</w:t>
      </w:r>
      <w:r w:rsidR="0018477D" w:rsidRPr="00D903CD">
        <w:t>s</w:t>
      </w:r>
      <w:r w:rsidR="00F93F29" w:rsidRPr="00D903CD">
        <w:t xml:space="preserve"> </w:t>
      </w:r>
      <w:r w:rsidR="001A6645" w:rsidRPr="00D903CD">
        <w:t xml:space="preserve"> </w:t>
      </w:r>
      <w:r w:rsidR="00913806" w:rsidRPr="00D903CD">
        <w:t>« Café hôtel restaurant»</w:t>
      </w:r>
      <w:r w:rsidR="00913806">
        <w:t xml:space="preserve">  et </w:t>
      </w:r>
      <w:r w:rsidR="00A4168E">
        <w:t>«</w:t>
      </w:r>
      <w:r w:rsidR="00852F6C">
        <w:t>Culture et Loisirs</w:t>
      </w:r>
      <w:r w:rsidR="00A4168E">
        <w:t xml:space="preserve"> » </w:t>
      </w:r>
      <w:r w:rsidR="00BB6FF5" w:rsidRPr="00D903CD">
        <w:t>avec</w:t>
      </w:r>
      <w:r w:rsidR="007F5590">
        <w:t xml:space="preserve"> </w:t>
      </w:r>
      <w:r w:rsidR="00913806">
        <w:t>11,9</w:t>
      </w:r>
      <w:r w:rsidR="00BA7D47">
        <w:t>%</w:t>
      </w:r>
      <w:r w:rsidR="00F93F29" w:rsidRPr="00D903CD">
        <w:t xml:space="preserve"> et </w:t>
      </w:r>
      <w:r w:rsidR="00913806">
        <w:t>7,1</w:t>
      </w:r>
      <w:r w:rsidR="00F93F29" w:rsidRPr="00D903CD">
        <w:t xml:space="preserve">% </w:t>
      </w:r>
      <w:r w:rsidR="00543F07" w:rsidRPr="00D903CD">
        <w:t>suivi</w:t>
      </w:r>
      <w:r w:rsidR="00980F08" w:rsidRPr="00D903CD">
        <w:t>s</w:t>
      </w:r>
      <w:r w:rsidR="00543F07" w:rsidRPr="00D903CD">
        <w:t xml:space="preserve"> des secteurs </w:t>
      </w:r>
      <w:r w:rsidR="00590B6B" w:rsidRPr="00D903CD">
        <w:t xml:space="preserve"> </w:t>
      </w:r>
      <w:r w:rsidR="00BA7D47">
        <w:t>« </w:t>
      </w:r>
      <w:r w:rsidR="00A4168E">
        <w:t xml:space="preserve">Beauté Esthétique </w:t>
      </w:r>
      <w:r w:rsidR="00BA7D47">
        <w:t xml:space="preserve">» </w:t>
      </w:r>
      <w:r w:rsidR="00913806">
        <w:t xml:space="preserve">et « Services » </w:t>
      </w:r>
      <w:r w:rsidR="0018477D" w:rsidRPr="00D903CD">
        <w:t xml:space="preserve">avec </w:t>
      </w:r>
      <w:r w:rsidRPr="00D903CD">
        <w:t xml:space="preserve">respectivement </w:t>
      </w:r>
      <w:r w:rsidR="00913806">
        <w:t>3</w:t>
      </w:r>
      <w:r w:rsidR="00F93F29" w:rsidRPr="00D903CD">
        <w:t>,</w:t>
      </w:r>
      <w:r w:rsidR="00913806">
        <w:t>4</w:t>
      </w:r>
      <w:r w:rsidR="001729BC" w:rsidRPr="00D903CD">
        <w:t>%</w:t>
      </w:r>
      <w:r w:rsidR="00543F07" w:rsidRPr="00D903CD">
        <w:t xml:space="preserve"> </w:t>
      </w:r>
      <w:r w:rsidR="00923E9C" w:rsidRPr="00D903CD">
        <w:t xml:space="preserve">et </w:t>
      </w:r>
      <w:r w:rsidR="00913806">
        <w:t>3,2</w:t>
      </w:r>
      <w:r w:rsidR="00923E9C" w:rsidRPr="00D903CD">
        <w:t>%.</w:t>
      </w:r>
    </w:p>
    <w:p w:rsidR="00AD5423" w:rsidRDefault="00AD5423" w:rsidP="00AD5423">
      <w:pPr>
        <w:ind w:right="16"/>
        <w:rPr>
          <w:i/>
        </w:rPr>
      </w:pPr>
    </w:p>
    <w:p w:rsidR="00BA7D47" w:rsidRDefault="00BA7D47" w:rsidP="00AD5423">
      <w:pPr>
        <w:ind w:right="16"/>
        <w:rPr>
          <w:i/>
        </w:rPr>
      </w:pPr>
    </w:p>
    <w:p w:rsidR="00BA7D47" w:rsidRPr="00D903CD" w:rsidRDefault="00BA7D47" w:rsidP="00AD5423">
      <w:pPr>
        <w:ind w:right="16"/>
        <w:rPr>
          <w:i/>
        </w:rPr>
      </w:pPr>
    </w:p>
    <w:p w:rsidR="00AD5423" w:rsidRDefault="00AD5423" w:rsidP="00EA20F1">
      <w:pPr>
        <w:tabs>
          <w:tab w:val="left" w:pos="1848"/>
        </w:tabs>
        <w:ind w:right="16"/>
        <w:jc w:val="center"/>
        <w:rPr>
          <w:i/>
        </w:rPr>
      </w:pPr>
      <w:r w:rsidRPr="00D903CD">
        <w:rPr>
          <w:i/>
        </w:rPr>
        <w:lastRenderedPageBreak/>
        <w:t>Préoccupations majeures dans la gestion de l'entreprise</w:t>
      </w:r>
    </w:p>
    <w:p w:rsidR="00331240" w:rsidRPr="00D903CD" w:rsidRDefault="00331240" w:rsidP="00EA20F1">
      <w:pPr>
        <w:tabs>
          <w:tab w:val="left" w:pos="1848"/>
        </w:tabs>
        <w:ind w:right="16"/>
        <w:jc w:val="center"/>
        <w:rPr>
          <w:i/>
        </w:rPr>
      </w:pPr>
    </w:p>
    <w:p w:rsidR="00C32E35" w:rsidRPr="00D903CD" w:rsidRDefault="007C34DE" w:rsidP="00B27789">
      <w:pPr>
        <w:tabs>
          <w:tab w:val="left" w:pos="1848"/>
        </w:tabs>
        <w:ind w:right="16"/>
        <w:jc w:val="center"/>
        <w:rPr>
          <w:i/>
        </w:rPr>
      </w:pPr>
      <w:r>
        <w:rPr>
          <w:noProof/>
          <w:lang w:eastAsia="fr-FR"/>
        </w:rPr>
        <w:drawing>
          <wp:inline distT="0" distB="0" distL="0" distR="0" wp14:anchorId="48E078CD" wp14:editId="1025842B">
            <wp:extent cx="5972810" cy="2806700"/>
            <wp:effectExtent l="0" t="0" r="27940" b="12700"/>
            <wp:docPr id="8" name="Graphique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D5423" w:rsidRPr="00D903CD" w:rsidRDefault="00AD5423" w:rsidP="00AD5423">
      <w:pPr>
        <w:spacing w:after="40"/>
        <w:ind w:right="16"/>
        <w:jc w:val="center"/>
        <w:rPr>
          <w:i/>
        </w:rPr>
      </w:pPr>
    </w:p>
    <w:p w:rsidR="00AD5423" w:rsidRPr="00D903CD" w:rsidRDefault="00AD5423" w:rsidP="00AD5423">
      <w:pPr>
        <w:spacing w:after="40"/>
        <w:ind w:right="16"/>
        <w:jc w:val="center"/>
        <w:rPr>
          <w:i/>
        </w:rPr>
      </w:pPr>
      <w:r w:rsidRPr="00D903CD">
        <w:rPr>
          <w:i/>
        </w:rPr>
        <w:t>Préoccupation par tranche d'âge</w:t>
      </w:r>
    </w:p>
    <w:p w:rsidR="00AD5423" w:rsidRPr="00D903CD" w:rsidRDefault="00AD5423" w:rsidP="00AD5423">
      <w:pPr>
        <w:spacing w:after="40"/>
        <w:ind w:right="16"/>
        <w:jc w:val="center"/>
        <w:rPr>
          <w:i/>
        </w:rPr>
      </w:pPr>
    </w:p>
    <w:p w:rsidR="00FE7890" w:rsidRPr="00D903CD" w:rsidRDefault="00FE7890" w:rsidP="00EA20F1">
      <w:pPr>
        <w:spacing w:after="0"/>
        <w:ind w:right="16"/>
        <w:jc w:val="both"/>
      </w:pPr>
      <w:r w:rsidRPr="00D903CD">
        <w:t>En cette période de crise, l</w:t>
      </w:r>
      <w:r w:rsidR="00AD5423" w:rsidRPr="00D903CD">
        <w:t>a gestion financière est ce qui préoccupe le plus les entreprises, principalement les moins</w:t>
      </w:r>
      <w:r w:rsidR="00BD78DB" w:rsidRPr="00D903CD">
        <w:t xml:space="preserve"> </w:t>
      </w:r>
      <w:r w:rsidR="00AD5423" w:rsidRPr="00D903CD">
        <w:t xml:space="preserve">de </w:t>
      </w:r>
      <w:r w:rsidR="007C34DE">
        <w:t>50</w:t>
      </w:r>
      <w:r w:rsidR="00AD5423" w:rsidRPr="00D903CD">
        <w:t xml:space="preserve"> ans</w:t>
      </w:r>
      <w:r w:rsidR="00BD78DB" w:rsidRPr="00D903CD">
        <w:t xml:space="preserve"> </w:t>
      </w:r>
      <w:r w:rsidR="00AD5423" w:rsidRPr="00D903CD">
        <w:t>(</w:t>
      </w:r>
      <w:r w:rsidR="007C34DE">
        <w:t>42,2</w:t>
      </w:r>
      <w:r w:rsidR="0001666E" w:rsidRPr="00D903CD">
        <w:t>%</w:t>
      </w:r>
      <w:r w:rsidR="00AD5423" w:rsidRPr="00D903CD">
        <w:t>),</w:t>
      </w:r>
      <w:r w:rsidR="00EA20F1" w:rsidRPr="00D903CD">
        <w:t xml:space="preserve"> </w:t>
      </w:r>
      <w:r w:rsidR="00572DBB">
        <w:t xml:space="preserve">suivi de près par </w:t>
      </w:r>
      <w:r w:rsidR="00AD5423" w:rsidRPr="00D903CD">
        <w:t>le côté commercial</w:t>
      </w:r>
      <w:r w:rsidRPr="00D903CD">
        <w:t xml:space="preserve"> (contre </w:t>
      </w:r>
      <w:r w:rsidR="00572DBB">
        <w:t>39,4</w:t>
      </w:r>
      <w:r w:rsidR="00272BF4" w:rsidRPr="00D903CD">
        <w:t>%</w:t>
      </w:r>
      <w:r w:rsidRPr="00D903CD">
        <w:t xml:space="preserve"> le trimestre précédent</w:t>
      </w:r>
      <w:r w:rsidR="002C0BC1" w:rsidRPr="00D903CD">
        <w:t>)</w:t>
      </w:r>
      <w:r w:rsidR="00AD5423" w:rsidRPr="00D903CD">
        <w:t>.</w:t>
      </w:r>
    </w:p>
    <w:p w:rsidR="00A02718" w:rsidRPr="00D903CD" w:rsidRDefault="00A02718" w:rsidP="00EA20F1">
      <w:pPr>
        <w:spacing w:after="0"/>
        <w:ind w:right="16"/>
        <w:jc w:val="both"/>
      </w:pPr>
    </w:p>
    <w:p w:rsidR="00A02718" w:rsidRPr="00D903CD" w:rsidRDefault="00A02718" w:rsidP="00EA20F1">
      <w:pPr>
        <w:spacing w:after="0"/>
        <w:ind w:right="16"/>
        <w:jc w:val="both"/>
      </w:pPr>
    </w:p>
    <w:p w:rsidR="003D7FC3" w:rsidRPr="00D903CD" w:rsidRDefault="003D7FC3" w:rsidP="00AD5423">
      <w:pPr>
        <w:spacing w:after="0"/>
        <w:ind w:right="16"/>
        <w:rPr>
          <w:noProof/>
          <w:lang w:eastAsia="fr-FR"/>
        </w:rPr>
      </w:pPr>
    </w:p>
    <w:p w:rsidR="0018176F" w:rsidRPr="00D903CD" w:rsidRDefault="0018176F" w:rsidP="00AD5423">
      <w:pPr>
        <w:spacing w:after="0"/>
        <w:ind w:right="16"/>
        <w:rPr>
          <w:noProof/>
          <w:lang w:eastAsia="fr-FR"/>
        </w:rPr>
      </w:pPr>
    </w:p>
    <w:p w:rsidR="0018176F" w:rsidRPr="00D903CD" w:rsidRDefault="0018176F" w:rsidP="00AD5423">
      <w:pPr>
        <w:spacing w:after="0"/>
        <w:ind w:right="16"/>
        <w:rPr>
          <w:noProof/>
          <w:lang w:eastAsia="fr-FR"/>
        </w:rPr>
      </w:pPr>
    </w:p>
    <w:p w:rsidR="0018176F" w:rsidRPr="00D903CD" w:rsidRDefault="0018176F" w:rsidP="00AD5423">
      <w:pPr>
        <w:spacing w:after="0"/>
        <w:ind w:right="16"/>
        <w:rPr>
          <w:noProof/>
          <w:lang w:eastAsia="fr-FR"/>
        </w:rPr>
      </w:pPr>
    </w:p>
    <w:p w:rsidR="0018176F" w:rsidRPr="00D903CD" w:rsidRDefault="0018176F" w:rsidP="00AD5423">
      <w:pPr>
        <w:spacing w:after="0"/>
        <w:ind w:right="16"/>
        <w:rPr>
          <w:noProof/>
          <w:lang w:eastAsia="fr-FR"/>
        </w:rPr>
      </w:pPr>
    </w:p>
    <w:p w:rsidR="0018176F" w:rsidRPr="00D903CD" w:rsidRDefault="0018176F" w:rsidP="00AD5423">
      <w:pPr>
        <w:spacing w:after="0"/>
        <w:ind w:right="16"/>
        <w:rPr>
          <w:noProof/>
          <w:lang w:eastAsia="fr-FR"/>
        </w:rPr>
      </w:pPr>
    </w:p>
    <w:p w:rsidR="0018176F" w:rsidRPr="00D903CD" w:rsidRDefault="0018176F" w:rsidP="00AD5423">
      <w:pPr>
        <w:spacing w:after="0"/>
        <w:ind w:right="16"/>
        <w:rPr>
          <w:noProof/>
          <w:lang w:eastAsia="fr-FR"/>
        </w:rPr>
      </w:pPr>
    </w:p>
    <w:p w:rsidR="0018176F" w:rsidRPr="00D903CD" w:rsidRDefault="0018176F" w:rsidP="00AD5423">
      <w:pPr>
        <w:spacing w:after="0"/>
        <w:ind w:right="16"/>
        <w:rPr>
          <w:noProof/>
          <w:lang w:eastAsia="fr-FR"/>
        </w:rPr>
      </w:pPr>
    </w:p>
    <w:p w:rsidR="0018176F" w:rsidRPr="00D903CD" w:rsidRDefault="0018176F" w:rsidP="00AD5423">
      <w:pPr>
        <w:spacing w:after="0"/>
        <w:ind w:right="16"/>
        <w:rPr>
          <w:noProof/>
          <w:lang w:eastAsia="fr-FR"/>
        </w:rPr>
      </w:pPr>
    </w:p>
    <w:p w:rsidR="0018176F" w:rsidRPr="00D903CD" w:rsidRDefault="0018176F" w:rsidP="00AD5423">
      <w:pPr>
        <w:spacing w:after="0"/>
        <w:ind w:right="16"/>
        <w:rPr>
          <w:noProof/>
          <w:lang w:eastAsia="fr-FR"/>
        </w:rPr>
      </w:pPr>
    </w:p>
    <w:p w:rsidR="0018176F" w:rsidRPr="00D903CD" w:rsidRDefault="0018176F" w:rsidP="00AD5423">
      <w:pPr>
        <w:spacing w:after="0"/>
        <w:ind w:right="16"/>
        <w:rPr>
          <w:noProof/>
          <w:lang w:eastAsia="fr-FR"/>
        </w:rPr>
      </w:pPr>
    </w:p>
    <w:p w:rsidR="0018176F" w:rsidRDefault="0018176F" w:rsidP="00AD5423">
      <w:pPr>
        <w:spacing w:after="0"/>
        <w:ind w:right="16"/>
        <w:rPr>
          <w:noProof/>
          <w:lang w:eastAsia="fr-FR"/>
        </w:rPr>
      </w:pPr>
    </w:p>
    <w:p w:rsidR="00331240" w:rsidRPr="00D903CD" w:rsidRDefault="00331240" w:rsidP="00AD5423">
      <w:pPr>
        <w:spacing w:after="0"/>
        <w:ind w:right="16"/>
        <w:rPr>
          <w:noProof/>
          <w:lang w:eastAsia="fr-FR"/>
        </w:rPr>
      </w:pPr>
    </w:p>
    <w:p w:rsidR="0018176F" w:rsidRPr="00D903CD" w:rsidRDefault="0018176F" w:rsidP="00AD5423">
      <w:pPr>
        <w:spacing w:after="0"/>
        <w:ind w:right="16"/>
        <w:rPr>
          <w:noProof/>
          <w:lang w:eastAsia="fr-FR"/>
        </w:rPr>
      </w:pPr>
    </w:p>
    <w:p w:rsidR="0018176F" w:rsidRPr="00D903CD" w:rsidRDefault="0018176F" w:rsidP="00AD5423">
      <w:pPr>
        <w:spacing w:after="0"/>
        <w:ind w:right="16"/>
        <w:rPr>
          <w:noProof/>
          <w:lang w:eastAsia="fr-FR"/>
        </w:rPr>
      </w:pPr>
    </w:p>
    <w:p w:rsidR="0018176F" w:rsidRPr="00D903CD" w:rsidRDefault="0018176F" w:rsidP="00AD5423">
      <w:pPr>
        <w:spacing w:after="0"/>
        <w:ind w:right="16"/>
      </w:pPr>
    </w:p>
    <w:p w:rsidR="00A02718" w:rsidRPr="00D903CD" w:rsidRDefault="00A02718" w:rsidP="003D7FC3">
      <w:pPr>
        <w:ind w:right="16"/>
        <w:jc w:val="center"/>
        <w:rPr>
          <w:i/>
        </w:rPr>
      </w:pPr>
    </w:p>
    <w:p w:rsidR="00A02718" w:rsidRDefault="00A02718" w:rsidP="003D7FC3">
      <w:pPr>
        <w:ind w:right="16"/>
        <w:jc w:val="center"/>
        <w:rPr>
          <w:i/>
        </w:rPr>
      </w:pPr>
    </w:p>
    <w:p w:rsidR="00F801D6" w:rsidRDefault="00F801D6" w:rsidP="003D7FC3">
      <w:pPr>
        <w:ind w:right="16"/>
        <w:jc w:val="center"/>
        <w:rPr>
          <w:i/>
        </w:rPr>
      </w:pPr>
    </w:p>
    <w:p w:rsidR="009E04C6" w:rsidRDefault="009E04C6" w:rsidP="003D7FC3">
      <w:pPr>
        <w:ind w:right="16"/>
        <w:jc w:val="center"/>
        <w:rPr>
          <w:i/>
        </w:rPr>
      </w:pPr>
    </w:p>
    <w:p w:rsidR="003D7FC3" w:rsidRPr="00D903CD" w:rsidRDefault="003B481C" w:rsidP="003D7FC3">
      <w:pPr>
        <w:ind w:right="16"/>
        <w:jc w:val="center"/>
        <w:rPr>
          <w:i/>
        </w:rPr>
      </w:pPr>
      <w:r w:rsidRPr="00D903CD">
        <w:rPr>
          <w:i/>
        </w:rPr>
        <w:lastRenderedPageBreak/>
        <w:t xml:space="preserve">4 - </w:t>
      </w:r>
      <w:r w:rsidR="003D7FC3" w:rsidRPr="00D903CD">
        <w:rPr>
          <w:i/>
        </w:rPr>
        <w:t>Relations avec les banques.</w:t>
      </w:r>
    </w:p>
    <w:p w:rsidR="003D7FC3" w:rsidRPr="00D903CD" w:rsidRDefault="00A039FD" w:rsidP="00811ED2">
      <w:pPr>
        <w:spacing w:after="40"/>
        <w:ind w:right="17"/>
      </w:pPr>
      <w:r w:rsidRPr="00D903CD">
        <w:rPr>
          <w:b/>
        </w:rPr>
        <w:t>Rappel :</w:t>
      </w:r>
      <w:r w:rsidRPr="00D903CD">
        <w:t xml:space="preserve"> La FCGA et la Banque de France mènent une enquête trimestrielle auprès d’entreprises sur leur accès au financement bancaire; </w:t>
      </w:r>
      <w:r w:rsidR="00A657C5" w:rsidRPr="00D903CD">
        <w:t>E</w:t>
      </w:r>
      <w:r w:rsidRPr="00D903CD">
        <w:t xml:space="preserve">nviron </w:t>
      </w:r>
      <w:r w:rsidR="009E33BC">
        <w:t>1800</w:t>
      </w:r>
      <w:r w:rsidRPr="00D903CD">
        <w:t xml:space="preserve"> TPE adhérentes ont répondu, 4000 PME et 500 ETI.</w:t>
      </w:r>
    </w:p>
    <w:p w:rsidR="00F049A2" w:rsidRPr="00D903CD" w:rsidRDefault="00D120E5" w:rsidP="00811ED2">
      <w:pPr>
        <w:spacing w:after="20"/>
        <w:ind w:right="17"/>
        <w:rPr>
          <w:b/>
        </w:rPr>
      </w:pPr>
      <w:r>
        <w:rPr>
          <w:b/>
        </w:rPr>
        <w:t>Ce troisième trimestre 2021, les demandes de crédits de trésorerie baissent légèrement et les taux d’obtention restent élevés.</w:t>
      </w:r>
    </w:p>
    <w:p w:rsidR="00533A65" w:rsidRPr="00D903CD" w:rsidRDefault="00533A65" w:rsidP="00811ED2">
      <w:pPr>
        <w:spacing w:after="20"/>
        <w:ind w:right="17"/>
        <w:rPr>
          <w:b/>
        </w:rPr>
      </w:pPr>
    </w:p>
    <w:p w:rsidR="003D7FC3" w:rsidRPr="00D903CD" w:rsidRDefault="0091474F" w:rsidP="003D7FC3">
      <w:pPr>
        <w:ind w:right="16"/>
        <w:jc w:val="center"/>
        <w:rPr>
          <w:i/>
        </w:rPr>
      </w:pPr>
      <w:r w:rsidRPr="00D903CD">
        <w:rPr>
          <w:i/>
        </w:rPr>
        <w:t>Demande de crédit</w:t>
      </w:r>
      <w:r w:rsidR="00BD78DB" w:rsidRPr="00D903CD">
        <w:rPr>
          <w:i/>
        </w:rPr>
        <w:t xml:space="preserve"> </w:t>
      </w:r>
      <w:r w:rsidR="003D7FC3" w:rsidRPr="00D903CD">
        <w:rPr>
          <w:i/>
        </w:rPr>
        <w:t xml:space="preserve">de trésorerie </w:t>
      </w:r>
    </w:p>
    <w:p w:rsidR="009E04C6" w:rsidRDefault="00331240" w:rsidP="00037F1D">
      <w:pPr>
        <w:spacing w:after="0"/>
        <w:ind w:right="-449"/>
        <w:jc w:val="both"/>
      </w:pPr>
      <w:r w:rsidRPr="00331240">
        <w:t>L</w:t>
      </w:r>
      <w:r w:rsidR="003D7FC3" w:rsidRPr="00D903CD">
        <w:t xml:space="preserve">a demande de </w:t>
      </w:r>
      <w:r w:rsidR="00E729C3" w:rsidRPr="00D903CD">
        <w:t>nouveaux crédit</w:t>
      </w:r>
      <w:r w:rsidR="00A7642C" w:rsidRPr="00D903CD">
        <w:t>s</w:t>
      </w:r>
      <w:r w:rsidR="00E729C3" w:rsidRPr="00D903CD">
        <w:t xml:space="preserve"> </w:t>
      </w:r>
      <w:r w:rsidR="00897399">
        <w:t xml:space="preserve">de trésorerie </w:t>
      </w:r>
      <w:r w:rsidR="00037F1D">
        <w:t xml:space="preserve">se stabilise à son niveau d’avant crise. </w:t>
      </w:r>
      <w:r w:rsidR="00E66CBA">
        <w:t>4</w:t>
      </w:r>
      <w:r w:rsidR="00037F1D">
        <w:t>%</w:t>
      </w:r>
      <w:r w:rsidR="00897399">
        <w:t xml:space="preserve"> </w:t>
      </w:r>
      <w:r w:rsidR="00037F1D">
        <w:t>d</w:t>
      </w:r>
      <w:r w:rsidR="00897399">
        <w:t>es entreprises</w:t>
      </w:r>
      <w:r w:rsidR="00037F1D">
        <w:t xml:space="preserve"> ont fait</w:t>
      </w:r>
    </w:p>
    <w:p w:rsidR="000C018A" w:rsidRPr="00D903CD" w:rsidRDefault="00037F1D" w:rsidP="00037F1D">
      <w:pPr>
        <w:spacing w:after="0"/>
        <w:ind w:right="-449"/>
        <w:jc w:val="both"/>
      </w:pPr>
      <w:r>
        <w:t>une demande au cours de ce trimestre.</w:t>
      </w:r>
      <w:r w:rsidR="000C018A" w:rsidRPr="00D903CD">
        <w:t xml:space="preserve"> </w:t>
      </w:r>
    </w:p>
    <w:p w:rsidR="005F69C5" w:rsidRPr="00D903CD" w:rsidRDefault="005F69C5" w:rsidP="005F69C5">
      <w:pPr>
        <w:spacing w:after="0"/>
        <w:ind w:right="-449"/>
        <w:jc w:val="both"/>
      </w:pPr>
    </w:p>
    <w:p w:rsidR="005F69C5" w:rsidRPr="00D903CD" w:rsidRDefault="00E66CBA" w:rsidP="005F69C5">
      <w:pPr>
        <w:spacing w:after="0"/>
        <w:ind w:right="-449"/>
        <w:jc w:val="center"/>
      </w:pPr>
      <w:r>
        <w:rPr>
          <w:noProof/>
          <w:lang w:eastAsia="fr-FR"/>
        </w:rPr>
        <w:drawing>
          <wp:inline distT="0" distB="0" distL="0" distR="0" wp14:anchorId="42A4A36B" wp14:editId="3BA7A2F6">
            <wp:extent cx="5419725" cy="2200275"/>
            <wp:effectExtent l="0" t="0" r="9525" b="9525"/>
            <wp:docPr id="12" name="Graphique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F69C5" w:rsidRPr="00D903CD" w:rsidRDefault="005F69C5" w:rsidP="005F69C5">
      <w:pPr>
        <w:spacing w:after="0"/>
        <w:ind w:right="-449"/>
        <w:jc w:val="both"/>
      </w:pPr>
    </w:p>
    <w:p w:rsidR="003D7FC3" w:rsidRPr="00D903CD" w:rsidRDefault="003D7FC3" w:rsidP="006F6244">
      <w:pPr>
        <w:spacing w:after="0"/>
        <w:jc w:val="both"/>
        <w:rPr>
          <w:b/>
        </w:rPr>
      </w:pPr>
      <w:r w:rsidRPr="00D903CD">
        <w:t xml:space="preserve">Parmi ces entreprises </w:t>
      </w:r>
      <w:r w:rsidR="009C1E26">
        <w:t>7</w:t>
      </w:r>
      <w:r w:rsidR="00E66CBA">
        <w:t>6</w:t>
      </w:r>
      <w:r w:rsidR="00C57873" w:rsidRPr="00D903CD">
        <w:t xml:space="preserve"> </w:t>
      </w:r>
      <w:r w:rsidRPr="00D903CD">
        <w:t xml:space="preserve">% ont obtenu un crédit de trésorerie à hauteur de </w:t>
      </w:r>
      <w:r w:rsidR="006005F6" w:rsidRPr="00D903CD">
        <w:t>75</w:t>
      </w:r>
      <w:r w:rsidRPr="00D903CD">
        <w:t>% au moins du montant sollicité</w:t>
      </w:r>
      <w:r w:rsidR="00EB60D5" w:rsidRPr="00D903CD">
        <w:t xml:space="preserve"> contre </w:t>
      </w:r>
      <w:r w:rsidR="00E66CBA">
        <w:t>76</w:t>
      </w:r>
      <w:r w:rsidR="00EB60D5" w:rsidRPr="00D903CD">
        <w:t>% le trimestre précédent</w:t>
      </w:r>
      <w:r w:rsidR="006F6244" w:rsidRPr="00D903CD">
        <w:t>.</w:t>
      </w:r>
      <w:r w:rsidR="00E66CBA">
        <w:t xml:space="preserve"> Ce pourcentage est très </w:t>
      </w:r>
      <w:r w:rsidR="00D120E5">
        <w:t xml:space="preserve">au </w:t>
      </w:r>
      <w:r w:rsidR="00E66CBA">
        <w:t xml:space="preserve">dessus des niveaux d’avant crise. </w:t>
      </w:r>
    </w:p>
    <w:p w:rsidR="00331240" w:rsidRDefault="00331240" w:rsidP="003D7FC3">
      <w:pPr>
        <w:ind w:right="16"/>
        <w:jc w:val="center"/>
        <w:rPr>
          <w:i/>
        </w:rPr>
      </w:pPr>
    </w:p>
    <w:p w:rsidR="003D7FC3" w:rsidRPr="00D903CD" w:rsidRDefault="003D7FC3" w:rsidP="003D7FC3">
      <w:pPr>
        <w:ind w:right="16"/>
        <w:jc w:val="center"/>
        <w:rPr>
          <w:i/>
        </w:rPr>
      </w:pPr>
      <w:r w:rsidRPr="00D903CD">
        <w:rPr>
          <w:i/>
        </w:rPr>
        <w:t xml:space="preserve">Raisons de l’absence de demande de crédit de trésorerie dans les TPE </w:t>
      </w:r>
    </w:p>
    <w:p w:rsidR="005F69C5" w:rsidRPr="00D903CD" w:rsidRDefault="00543F07" w:rsidP="0087535D">
      <w:pPr>
        <w:spacing w:after="0"/>
      </w:pPr>
      <w:r w:rsidRPr="00D903CD">
        <w:t>L</w:t>
      </w:r>
      <w:r w:rsidR="003D7FC3" w:rsidRPr="00D903CD">
        <w:t>a cause principale de l’absence de demande de crédit est l’absence de besoin (</w:t>
      </w:r>
      <w:r w:rsidR="00E66CBA">
        <w:t>54,3</w:t>
      </w:r>
      <w:r w:rsidR="003D7FC3" w:rsidRPr="00D903CD">
        <w:t>% vs</w:t>
      </w:r>
      <w:r w:rsidR="00E63B65" w:rsidRPr="00D903CD">
        <w:t xml:space="preserve"> </w:t>
      </w:r>
      <w:r w:rsidR="00E66CBA">
        <w:t>63,0</w:t>
      </w:r>
      <w:r w:rsidR="00B05523" w:rsidRPr="00D903CD">
        <w:t>%</w:t>
      </w:r>
      <w:r w:rsidR="003D7FC3" w:rsidRPr="00D903CD">
        <w:t>). L’autocensure</w:t>
      </w:r>
      <w:r w:rsidR="00A56085" w:rsidRPr="00D903CD">
        <w:t xml:space="preserve"> </w:t>
      </w:r>
      <w:r w:rsidR="00330070" w:rsidRPr="00D903CD">
        <w:t>(</w:t>
      </w:r>
      <w:r w:rsidR="003D7FC3" w:rsidRPr="00D903CD">
        <w:t>au sens de la</w:t>
      </w:r>
      <w:r w:rsidR="00330070" w:rsidRPr="00D903CD">
        <w:t xml:space="preserve"> crainte d’un refus du banquier)</w:t>
      </w:r>
      <w:r w:rsidR="00BD78DB" w:rsidRPr="00D903CD">
        <w:t xml:space="preserve"> </w:t>
      </w:r>
      <w:r w:rsidR="003D7FC3" w:rsidRPr="00D903CD">
        <w:t>est marginale</w:t>
      </w:r>
      <w:r w:rsidR="005F69C5" w:rsidRPr="00D903CD">
        <w:t xml:space="preserve"> </w:t>
      </w:r>
      <w:r w:rsidR="00E66CBA">
        <w:t>0,9</w:t>
      </w:r>
      <w:r w:rsidR="003D7FC3" w:rsidRPr="00D903CD">
        <w:t>%.</w:t>
      </w:r>
    </w:p>
    <w:p w:rsidR="005F69C5" w:rsidRPr="00D903CD" w:rsidRDefault="005F69C5" w:rsidP="0087535D">
      <w:pPr>
        <w:spacing w:after="0"/>
      </w:pPr>
    </w:p>
    <w:p w:rsidR="003D7FC3" w:rsidRPr="00D903CD" w:rsidRDefault="00E66CBA" w:rsidP="005F69C5">
      <w:pPr>
        <w:spacing w:after="0"/>
        <w:jc w:val="center"/>
        <w:rPr>
          <w:i/>
        </w:rPr>
      </w:pPr>
      <w:r>
        <w:rPr>
          <w:noProof/>
          <w:lang w:eastAsia="fr-FR"/>
        </w:rPr>
        <w:drawing>
          <wp:inline distT="0" distB="0" distL="0" distR="0" wp14:anchorId="3C714837" wp14:editId="2A47A3B3">
            <wp:extent cx="5972810" cy="3166110"/>
            <wp:effectExtent l="0" t="0" r="27940" b="15240"/>
            <wp:docPr id="13" name="Graphique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937821" w:rsidRPr="00D903CD">
        <w:br w:type="page"/>
      </w:r>
      <w:r w:rsidR="003D7FC3" w:rsidRPr="00D903CD">
        <w:rPr>
          <w:i/>
        </w:rPr>
        <w:lastRenderedPageBreak/>
        <w:t>Demande de crédit d’investissements</w:t>
      </w:r>
    </w:p>
    <w:p w:rsidR="00492C34" w:rsidRPr="00D903CD" w:rsidRDefault="00492C34" w:rsidP="00492C34">
      <w:pPr>
        <w:spacing w:after="0"/>
        <w:jc w:val="center"/>
        <w:rPr>
          <w:i/>
        </w:rPr>
      </w:pPr>
    </w:p>
    <w:p w:rsidR="00811ED2" w:rsidRDefault="00E66CBA" w:rsidP="00CD772C">
      <w:pPr>
        <w:spacing w:after="0"/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14FAE4D5" wp14:editId="41DBBC6D">
            <wp:extent cx="5972810" cy="2495550"/>
            <wp:effectExtent l="0" t="0" r="27940" b="19050"/>
            <wp:docPr id="14" name="Graphique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C1E26" w:rsidRPr="00D903CD" w:rsidRDefault="009C1E26" w:rsidP="00CD772C">
      <w:pPr>
        <w:spacing w:after="0"/>
        <w:jc w:val="center"/>
        <w:rPr>
          <w:noProof/>
          <w:lang w:eastAsia="fr-FR"/>
        </w:rPr>
      </w:pPr>
    </w:p>
    <w:p w:rsidR="002C4850" w:rsidRPr="00D903CD" w:rsidRDefault="000C018A" w:rsidP="002C4850">
      <w:pPr>
        <w:spacing w:after="0"/>
        <w:jc w:val="both"/>
      </w:pPr>
      <w:r w:rsidRPr="00D903CD">
        <w:rPr>
          <w:b/>
        </w:rPr>
        <w:t xml:space="preserve">Ce trimestre </w:t>
      </w:r>
      <w:r w:rsidR="002C4850" w:rsidRPr="00D903CD">
        <w:rPr>
          <w:b/>
        </w:rPr>
        <w:t xml:space="preserve"> </w:t>
      </w:r>
      <w:r w:rsidR="002C4850" w:rsidRPr="00D903CD">
        <w:t xml:space="preserve">la demande de nouveaux crédits d’investissements </w:t>
      </w:r>
      <w:r w:rsidRPr="00D903CD">
        <w:t xml:space="preserve"> </w:t>
      </w:r>
      <w:r w:rsidR="00754B3E">
        <w:t xml:space="preserve">est </w:t>
      </w:r>
      <w:r w:rsidR="009C1E26">
        <w:t xml:space="preserve">de </w:t>
      </w:r>
      <w:r w:rsidR="00C3221C">
        <w:t>(</w:t>
      </w:r>
      <w:r w:rsidR="00E66CBA">
        <w:t>7,7</w:t>
      </w:r>
      <w:r w:rsidR="00E62A73" w:rsidRPr="00D903CD">
        <w:t xml:space="preserve">%) </w:t>
      </w:r>
      <w:r w:rsidR="002C4850" w:rsidRPr="00D903CD">
        <w:t>par rapport au trimestre précédent</w:t>
      </w:r>
      <w:r w:rsidR="00547F6B" w:rsidRPr="00D903CD">
        <w:t xml:space="preserve"> (</w:t>
      </w:r>
      <w:r w:rsidR="00E66CBA">
        <w:t>6,6</w:t>
      </w:r>
      <w:r w:rsidR="00733EA7" w:rsidRPr="00D903CD">
        <w:t>%)</w:t>
      </w:r>
      <w:r w:rsidR="00897399">
        <w:t xml:space="preserve"> et reste en-</w:t>
      </w:r>
      <w:proofErr w:type="spellStart"/>
      <w:r w:rsidR="00897399">
        <w:t>deça</w:t>
      </w:r>
      <w:proofErr w:type="spellEnd"/>
      <w:r w:rsidR="00897399">
        <w:t xml:space="preserve"> de leurs niveaux d’avant crise</w:t>
      </w:r>
      <w:r w:rsidR="002C4850" w:rsidRPr="00D903CD">
        <w:t xml:space="preserve">. </w:t>
      </w:r>
    </w:p>
    <w:p w:rsidR="002C4850" w:rsidRPr="00D903CD" w:rsidRDefault="002C4850" w:rsidP="006F6244">
      <w:pPr>
        <w:spacing w:after="0"/>
        <w:ind w:right="17"/>
        <w:jc w:val="both"/>
        <w:rPr>
          <w:b/>
        </w:rPr>
      </w:pPr>
    </w:p>
    <w:p w:rsidR="003D7FC3" w:rsidRPr="00D903CD" w:rsidRDefault="003D7FC3" w:rsidP="006F6244">
      <w:pPr>
        <w:spacing w:after="0"/>
        <w:jc w:val="both"/>
      </w:pPr>
      <w:r w:rsidRPr="00D903CD">
        <w:t xml:space="preserve">Parmi ces entreprises </w:t>
      </w:r>
      <w:r w:rsidR="00D76FE2" w:rsidRPr="00D903CD">
        <w:t xml:space="preserve">encore </w:t>
      </w:r>
      <w:r w:rsidR="009C1E26">
        <w:t>8</w:t>
      </w:r>
      <w:r w:rsidR="00D120E5">
        <w:t>8</w:t>
      </w:r>
      <w:r w:rsidRPr="00D903CD">
        <w:t>% ont obtenu un crédit d’investissement</w:t>
      </w:r>
      <w:r w:rsidR="004726B0" w:rsidRPr="00D903CD">
        <w:t>s</w:t>
      </w:r>
      <w:r w:rsidR="00BD78DB" w:rsidRPr="00D903CD">
        <w:t xml:space="preserve"> </w:t>
      </w:r>
      <w:r w:rsidRPr="00D903CD">
        <w:t xml:space="preserve">à hauteur de </w:t>
      </w:r>
      <w:r w:rsidR="007C7741" w:rsidRPr="00D903CD">
        <w:t>75</w:t>
      </w:r>
      <w:r w:rsidRPr="00D903CD">
        <w:t xml:space="preserve">% au moins du montant sollicité. </w:t>
      </w:r>
    </w:p>
    <w:p w:rsidR="003D7FC3" w:rsidRPr="00D903CD" w:rsidRDefault="00324422" w:rsidP="006F6244">
      <w:pPr>
        <w:spacing w:after="0"/>
        <w:jc w:val="both"/>
      </w:pPr>
      <w:r w:rsidRPr="00D903CD">
        <w:t>S’agissant plus particulièrement d</w:t>
      </w:r>
      <w:r w:rsidR="007F4618" w:rsidRPr="00D903CD">
        <w:t>es crédits</w:t>
      </w:r>
      <w:r w:rsidR="00330070" w:rsidRPr="00D903CD">
        <w:t xml:space="preserve"> d’équipement</w:t>
      </w:r>
      <w:r w:rsidR="007E5D5C" w:rsidRPr="00D903CD">
        <w:t>,</w:t>
      </w:r>
      <w:r w:rsidR="00BD78DB" w:rsidRPr="00D903CD">
        <w:t xml:space="preserve"> </w:t>
      </w:r>
      <w:r w:rsidR="00D120E5">
        <w:t>87</w:t>
      </w:r>
      <w:r w:rsidR="001A1631">
        <w:t>%</w:t>
      </w:r>
      <w:r w:rsidR="007E5D5C" w:rsidRPr="00D903CD">
        <w:t xml:space="preserve"> des entreprises interrogées indiquent obtenir satisfaction en totalité ou en grande partie.</w:t>
      </w:r>
    </w:p>
    <w:p w:rsidR="007F4618" w:rsidRPr="00D903CD" w:rsidRDefault="007F4618" w:rsidP="007F4618">
      <w:pPr>
        <w:spacing w:after="0"/>
      </w:pPr>
    </w:p>
    <w:p w:rsidR="007F4618" w:rsidRPr="00D903CD" w:rsidRDefault="007F4618" w:rsidP="007F4618">
      <w:pPr>
        <w:spacing w:after="0"/>
        <w:rPr>
          <w:i/>
        </w:rPr>
      </w:pPr>
    </w:p>
    <w:p w:rsidR="003D7FC3" w:rsidRPr="00D903CD" w:rsidRDefault="003D7FC3" w:rsidP="003D7FC3">
      <w:pPr>
        <w:ind w:right="16"/>
        <w:jc w:val="center"/>
        <w:rPr>
          <w:i/>
        </w:rPr>
      </w:pPr>
      <w:r w:rsidRPr="00D903CD">
        <w:rPr>
          <w:i/>
        </w:rPr>
        <w:t>Raisons de l’absence de demande de crédit d’investissements</w:t>
      </w:r>
      <w:r w:rsidR="00BD78DB" w:rsidRPr="00D903CD">
        <w:rPr>
          <w:i/>
        </w:rPr>
        <w:t xml:space="preserve"> </w:t>
      </w:r>
      <w:r w:rsidRPr="00D903CD">
        <w:rPr>
          <w:i/>
        </w:rPr>
        <w:t xml:space="preserve">dans les TPE </w:t>
      </w:r>
    </w:p>
    <w:p w:rsidR="003D7FC3" w:rsidRPr="00D903CD" w:rsidRDefault="00E66CBA" w:rsidP="003D7FC3">
      <w:pPr>
        <w:ind w:right="16"/>
        <w:jc w:val="center"/>
        <w:rPr>
          <w:i/>
        </w:rPr>
      </w:pPr>
      <w:r>
        <w:rPr>
          <w:noProof/>
          <w:lang w:eastAsia="fr-FR"/>
        </w:rPr>
        <w:drawing>
          <wp:inline distT="0" distB="0" distL="0" distR="0" wp14:anchorId="3C95AF1D" wp14:editId="2D1F8CE5">
            <wp:extent cx="5972810" cy="2834005"/>
            <wp:effectExtent l="0" t="0" r="27940" b="23495"/>
            <wp:docPr id="15" name="Graphique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D7FC3" w:rsidRPr="00D903CD" w:rsidRDefault="003D7FC3" w:rsidP="006F6244">
      <w:pPr>
        <w:jc w:val="both"/>
      </w:pPr>
      <w:r w:rsidRPr="00D903CD">
        <w:t>Comme pour le crédit de trésorerie, la cause principale de l’absence de demande de crédit d’investissements est l’absence de besoin (</w:t>
      </w:r>
      <w:r w:rsidR="00E66CBA">
        <w:t>60,60</w:t>
      </w:r>
      <w:r w:rsidRPr="00D903CD">
        <w:t>%). L’autocensure</w:t>
      </w:r>
      <w:r w:rsidR="00601534" w:rsidRPr="00D903CD">
        <w:t xml:space="preserve"> (</w:t>
      </w:r>
      <w:r w:rsidRPr="00D903CD">
        <w:t>au sens de la crainte d’un refus du banquier</w:t>
      </w:r>
      <w:r w:rsidR="007C7741" w:rsidRPr="00D903CD">
        <w:t>)</w:t>
      </w:r>
      <w:r w:rsidR="00BD78DB" w:rsidRPr="00D903CD">
        <w:t xml:space="preserve"> </w:t>
      </w:r>
      <w:r w:rsidRPr="00D903CD">
        <w:t xml:space="preserve">est marginale </w:t>
      </w:r>
      <w:r w:rsidR="009C1E26">
        <w:t>0</w:t>
      </w:r>
      <w:r w:rsidR="00211C34">
        <w:t>,</w:t>
      </w:r>
      <w:r w:rsidR="00E66CBA">
        <w:t>62</w:t>
      </w:r>
      <w:r w:rsidRPr="00D903CD">
        <w:t>%.</w:t>
      </w:r>
    </w:p>
    <w:p w:rsidR="003D7FC3" w:rsidRPr="00D903CD" w:rsidRDefault="003D7FC3" w:rsidP="003D7FC3">
      <w:pPr>
        <w:ind w:right="16"/>
        <w:rPr>
          <w:i/>
        </w:rPr>
      </w:pPr>
    </w:p>
    <w:p w:rsidR="00B05523" w:rsidRPr="00D903CD" w:rsidRDefault="00B05523" w:rsidP="003D7FC3">
      <w:pPr>
        <w:ind w:right="16"/>
        <w:rPr>
          <w:i/>
        </w:rPr>
      </w:pPr>
    </w:p>
    <w:p w:rsidR="007C7741" w:rsidRPr="00D903CD" w:rsidRDefault="007C7741" w:rsidP="003D7FC3">
      <w:pPr>
        <w:ind w:right="16"/>
        <w:rPr>
          <w:i/>
        </w:rPr>
      </w:pPr>
    </w:p>
    <w:p w:rsidR="003D7FC3" w:rsidRPr="00D903CD" w:rsidRDefault="003D7FC3" w:rsidP="003D7FC3">
      <w:pPr>
        <w:ind w:right="16"/>
        <w:jc w:val="center"/>
        <w:rPr>
          <w:i/>
        </w:rPr>
      </w:pPr>
      <w:r w:rsidRPr="00D903CD">
        <w:rPr>
          <w:i/>
        </w:rPr>
        <w:lastRenderedPageBreak/>
        <w:t xml:space="preserve">Demande de nouvelles exigences en matière de garantie </w:t>
      </w:r>
    </w:p>
    <w:p w:rsidR="003D7FC3" w:rsidRPr="00D903CD" w:rsidRDefault="00877ED5" w:rsidP="003D7FC3">
      <w:pPr>
        <w:ind w:right="16"/>
        <w:jc w:val="center"/>
        <w:rPr>
          <w:i/>
        </w:rPr>
      </w:pPr>
      <w:r>
        <w:rPr>
          <w:noProof/>
          <w:lang w:eastAsia="fr-FR"/>
        </w:rPr>
        <w:drawing>
          <wp:inline distT="0" distB="0" distL="0" distR="0" wp14:anchorId="0C9D20DA" wp14:editId="42D8257C">
            <wp:extent cx="5971430" cy="2735249"/>
            <wp:effectExtent l="0" t="0" r="10795" b="27305"/>
            <wp:docPr id="16" name="Graphique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D7FC3" w:rsidRDefault="00F3493F" w:rsidP="006F6244">
      <w:pPr>
        <w:ind w:right="16"/>
        <w:jc w:val="both"/>
      </w:pPr>
      <w:r w:rsidRPr="00D903CD">
        <w:t xml:space="preserve">Pour ce trimestre </w:t>
      </w:r>
      <w:r w:rsidR="00754B3E">
        <w:t>1</w:t>
      </w:r>
      <w:r w:rsidR="00877ED5">
        <w:t>6</w:t>
      </w:r>
      <w:r w:rsidR="00754B3E">
        <w:t>,</w:t>
      </w:r>
      <w:r w:rsidR="00AC55BB">
        <w:t>5</w:t>
      </w:r>
      <w:r w:rsidR="007C7741" w:rsidRPr="00D903CD">
        <w:t>%</w:t>
      </w:r>
      <w:r w:rsidR="003D7FC3" w:rsidRPr="00D903CD">
        <w:t xml:space="preserve"> des TPE interrogées déclarent avoir été confrontées à de nouvelles</w:t>
      </w:r>
      <w:r w:rsidR="00BD78DB" w:rsidRPr="00D903CD">
        <w:t xml:space="preserve"> </w:t>
      </w:r>
      <w:r w:rsidR="003D7FC3" w:rsidRPr="00D903CD">
        <w:t>exigences de leur banque en matière de garanties (</w:t>
      </w:r>
      <w:r w:rsidR="003B5C7B" w:rsidRPr="00D903CD">
        <w:t>1</w:t>
      </w:r>
      <w:r w:rsidR="00AC55BB">
        <w:t>5</w:t>
      </w:r>
      <w:r w:rsidR="001A1631">
        <w:t>,</w:t>
      </w:r>
      <w:r w:rsidR="00877ED5">
        <w:t>5</w:t>
      </w:r>
      <w:r w:rsidR="006F6244" w:rsidRPr="00D903CD">
        <w:t>% au trimestre précédent).</w:t>
      </w:r>
    </w:p>
    <w:p w:rsidR="008576B4" w:rsidRPr="00D903CD" w:rsidRDefault="008576B4" w:rsidP="006F6244">
      <w:pPr>
        <w:ind w:right="16"/>
        <w:jc w:val="both"/>
      </w:pPr>
    </w:p>
    <w:p w:rsidR="003D7FC3" w:rsidRPr="00D903CD" w:rsidRDefault="003D7FC3" w:rsidP="003D7FC3">
      <w:pPr>
        <w:spacing w:after="0"/>
        <w:ind w:right="17"/>
        <w:jc w:val="center"/>
        <w:rPr>
          <w:i/>
        </w:rPr>
      </w:pPr>
      <w:r w:rsidRPr="00D903CD">
        <w:rPr>
          <w:i/>
        </w:rPr>
        <w:t>Comparatif Résultats enquête</w:t>
      </w:r>
      <w:r w:rsidR="00844D15" w:rsidRPr="00D903CD">
        <w:rPr>
          <w:i/>
        </w:rPr>
        <w:t xml:space="preserve"> </w:t>
      </w:r>
      <w:r w:rsidR="00877ED5">
        <w:rPr>
          <w:i/>
        </w:rPr>
        <w:t>3T2020</w:t>
      </w:r>
      <w:r w:rsidR="00E62A73" w:rsidRPr="00D903CD">
        <w:rPr>
          <w:i/>
        </w:rPr>
        <w:t xml:space="preserve">- </w:t>
      </w:r>
      <w:r w:rsidR="00877ED5">
        <w:rPr>
          <w:i/>
        </w:rPr>
        <w:t>3</w:t>
      </w:r>
      <w:r w:rsidR="00E62A73" w:rsidRPr="00D903CD">
        <w:rPr>
          <w:i/>
        </w:rPr>
        <w:t>T202</w:t>
      </w:r>
      <w:r w:rsidR="003B121C">
        <w:rPr>
          <w:i/>
        </w:rPr>
        <w:t>1</w:t>
      </w:r>
    </w:p>
    <w:p w:rsidR="003D7FC3" w:rsidRPr="00D903CD" w:rsidRDefault="003D7FC3" w:rsidP="003D7FC3">
      <w:pPr>
        <w:spacing w:after="0"/>
        <w:ind w:right="17"/>
        <w:jc w:val="center"/>
        <w:rPr>
          <w:i/>
        </w:rPr>
      </w:pPr>
      <w:r w:rsidRPr="00D903CD">
        <w:rPr>
          <w:i/>
        </w:rPr>
        <w:t>Enquête liée à l’accès au crédit de trésorerie et d’investissement</w:t>
      </w:r>
    </w:p>
    <w:p w:rsidR="003D7FC3" w:rsidRPr="00D903CD" w:rsidRDefault="003D7FC3" w:rsidP="003D7FC3">
      <w:pPr>
        <w:spacing w:after="0"/>
        <w:ind w:right="17"/>
        <w:jc w:val="center"/>
        <w:rPr>
          <w:noProof/>
          <w:lang w:eastAsia="fr-FR"/>
        </w:rPr>
      </w:pPr>
    </w:p>
    <w:p w:rsidR="00351777" w:rsidRPr="00D903CD" w:rsidRDefault="00877ED5" w:rsidP="003D7FC3">
      <w:pPr>
        <w:spacing w:after="0"/>
        <w:ind w:right="17"/>
        <w:jc w:val="center"/>
        <w:rPr>
          <w:i/>
        </w:rPr>
      </w:pPr>
      <w:r>
        <w:rPr>
          <w:noProof/>
          <w:lang w:eastAsia="fr-FR"/>
        </w:rPr>
        <w:drawing>
          <wp:inline distT="0" distB="0" distL="0" distR="0" wp14:anchorId="643A461C" wp14:editId="6989B5DB">
            <wp:extent cx="6217920" cy="3649649"/>
            <wp:effectExtent l="0" t="0" r="11430" b="27305"/>
            <wp:docPr id="17" name="Graphique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607D2" w:rsidRDefault="00B05523" w:rsidP="003B121C">
      <w:pPr>
        <w:ind w:right="118"/>
        <w:jc w:val="both"/>
      </w:pPr>
      <w:r w:rsidRPr="00D903CD">
        <w:t xml:space="preserve">Au </w:t>
      </w:r>
      <w:r w:rsidR="00877ED5">
        <w:t>3</w:t>
      </w:r>
      <w:r w:rsidR="00877ED5" w:rsidRPr="00877ED5">
        <w:rPr>
          <w:vertAlign w:val="superscript"/>
        </w:rPr>
        <w:t>ème</w:t>
      </w:r>
      <w:r w:rsidR="00877ED5">
        <w:t xml:space="preserve"> </w:t>
      </w:r>
      <w:r w:rsidR="003B5C7B" w:rsidRPr="00D903CD">
        <w:t>trimestre</w:t>
      </w:r>
      <w:r w:rsidR="00E62A73" w:rsidRPr="00D903CD">
        <w:t xml:space="preserve"> 202</w:t>
      </w:r>
      <w:r w:rsidR="00A06F04">
        <w:t>1</w:t>
      </w:r>
      <w:r w:rsidR="005B3F18" w:rsidRPr="00D903CD">
        <w:t xml:space="preserve"> par rapport au </w:t>
      </w:r>
      <w:r w:rsidR="00877ED5">
        <w:t>3</w:t>
      </w:r>
      <w:r w:rsidR="00877ED5" w:rsidRPr="00877ED5">
        <w:rPr>
          <w:vertAlign w:val="superscript"/>
        </w:rPr>
        <w:t>ème</w:t>
      </w:r>
      <w:r w:rsidR="00877ED5">
        <w:t xml:space="preserve"> </w:t>
      </w:r>
      <w:r w:rsidR="00E62A73" w:rsidRPr="00D903CD">
        <w:t>trimestre 20</w:t>
      </w:r>
      <w:r w:rsidR="00A06F04">
        <w:t>20</w:t>
      </w:r>
      <w:r w:rsidR="005B3F18" w:rsidRPr="00D903CD">
        <w:t>,</w:t>
      </w:r>
      <w:r w:rsidR="003D7FC3" w:rsidRPr="00D903CD">
        <w:t xml:space="preserve"> la demande des TPE</w:t>
      </w:r>
      <w:r w:rsidR="00BD78DB" w:rsidRPr="00D903CD">
        <w:t xml:space="preserve"> </w:t>
      </w:r>
      <w:r w:rsidR="00AF5C53" w:rsidRPr="00D903CD">
        <w:t xml:space="preserve">est </w:t>
      </w:r>
      <w:r w:rsidR="00324422" w:rsidRPr="00D903CD">
        <w:t xml:space="preserve">en </w:t>
      </w:r>
      <w:r w:rsidR="00A06F04">
        <w:t xml:space="preserve">baisse </w:t>
      </w:r>
      <w:r w:rsidR="003D7FC3" w:rsidRPr="00D903CD">
        <w:t>pour</w:t>
      </w:r>
      <w:r w:rsidR="00BD78DB" w:rsidRPr="00D903CD">
        <w:t xml:space="preserve"> </w:t>
      </w:r>
      <w:r w:rsidR="003D7FC3" w:rsidRPr="00D903CD">
        <w:t>les crédits de trésorerie</w:t>
      </w:r>
      <w:r w:rsidR="00BD78DB" w:rsidRPr="00D903CD">
        <w:t xml:space="preserve"> </w:t>
      </w:r>
      <w:r w:rsidR="00082770">
        <w:t>4,0</w:t>
      </w:r>
      <w:r w:rsidRPr="00D903CD">
        <w:t>%</w:t>
      </w:r>
      <w:r w:rsidR="006F6244" w:rsidRPr="00D903CD">
        <w:t xml:space="preserve"> </w:t>
      </w:r>
      <w:r w:rsidRPr="00D903CD">
        <w:t xml:space="preserve">vs </w:t>
      </w:r>
      <w:r w:rsidR="00082770">
        <w:t>15,20</w:t>
      </w:r>
      <w:r w:rsidRPr="00D903CD">
        <w:t>%,</w:t>
      </w:r>
      <w:r w:rsidR="00243095" w:rsidRPr="00D903CD">
        <w:t xml:space="preserve"> la demande concernant </w:t>
      </w:r>
      <w:r w:rsidR="00F3493F" w:rsidRPr="00D903CD">
        <w:t xml:space="preserve">les </w:t>
      </w:r>
      <w:r w:rsidR="003D7FC3" w:rsidRPr="00D903CD">
        <w:t>crédits d’investissements</w:t>
      </w:r>
      <w:r w:rsidR="00F3493F" w:rsidRPr="00D903CD">
        <w:t xml:space="preserve"> </w:t>
      </w:r>
      <w:r w:rsidR="00324422" w:rsidRPr="00D903CD">
        <w:t>est</w:t>
      </w:r>
      <w:r w:rsidR="0087535D" w:rsidRPr="00D903CD">
        <w:t xml:space="preserve"> </w:t>
      </w:r>
      <w:r w:rsidR="00082770">
        <w:t>légèrement supéri</w:t>
      </w:r>
      <w:r w:rsidR="00D120E5">
        <w:t>e</w:t>
      </w:r>
      <w:r w:rsidR="00082770">
        <w:t>ure</w:t>
      </w:r>
      <w:r w:rsidR="00A06F04">
        <w:t xml:space="preserve"> </w:t>
      </w:r>
      <w:r w:rsidR="00082770">
        <w:t>7,7</w:t>
      </w:r>
      <w:r w:rsidR="001A1631">
        <w:t>0</w:t>
      </w:r>
      <w:r w:rsidRPr="00D903CD">
        <w:t xml:space="preserve">% vs </w:t>
      </w:r>
      <w:r w:rsidR="003B121C">
        <w:t>6,</w:t>
      </w:r>
      <w:r w:rsidR="00082770">
        <w:t>7</w:t>
      </w:r>
      <w:r w:rsidR="003B121C">
        <w:t>0</w:t>
      </w:r>
      <w:r w:rsidRPr="00D903CD">
        <w:t>%</w:t>
      </w:r>
      <w:r w:rsidR="00D32E61" w:rsidRPr="00D903CD">
        <w:t>. L</w:t>
      </w:r>
      <w:r w:rsidRPr="00D903CD">
        <w:t>a demande de nouvelles exigences</w:t>
      </w:r>
      <w:r w:rsidR="00A7642C" w:rsidRPr="00D903CD">
        <w:t xml:space="preserve"> est </w:t>
      </w:r>
      <w:r w:rsidR="00082770">
        <w:t>stable</w:t>
      </w:r>
      <w:r w:rsidR="00E62A73" w:rsidRPr="00D903CD">
        <w:t xml:space="preserve"> </w:t>
      </w:r>
      <w:r w:rsidR="001A1631">
        <w:t>1</w:t>
      </w:r>
      <w:r w:rsidR="00082770">
        <w:t>6,50</w:t>
      </w:r>
      <w:r w:rsidR="0087535D" w:rsidRPr="00D903CD">
        <w:t>%</w:t>
      </w:r>
      <w:r w:rsidR="005B3F18" w:rsidRPr="00D903CD">
        <w:t xml:space="preserve"> </w:t>
      </w:r>
      <w:r w:rsidR="00243095" w:rsidRPr="00D903CD">
        <w:t>en 20</w:t>
      </w:r>
      <w:r w:rsidR="00E62A73" w:rsidRPr="00D903CD">
        <w:t>2</w:t>
      </w:r>
      <w:r w:rsidR="00A06F04">
        <w:t>1</w:t>
      </w:r>
      <w:r w:rsidR="005B3F18" w:rsidRPr="00D903CD">
        <w:t xml:space="preserve"> </w:t>
      </w:r>
      <w:r w:rsidR="00AF5C53" w:rsidRPr="00D903CD">
        <w:t xml:space="preserve"> </w:t>
      </w:r>
      <w:r w:rsidR="005B3F18" w:rsidRPr="00D903CD">
        <w:t xml:space="preserve">contre </w:t>
      </w:r>
      <w:r w:rsidR="00A06F04">
        <w:t>1</w:t>
      </w:r>
      <w:r w:rsidR="00082770">
        <w:t>6,40</w:t>
      </w:r>
      <w:r w:rsidR="00733EA7" w:rsidRPr="00D903CD">
        <w:t>%</w:t>
      </w:r>
      <w:r w:rsidR="001C4A7E" w:rsidRPr="00D903CD">
        <w:t xml:space="preserve"> </w:t>
      </w:r>
      <w:r w:rsidR="00D32E61" w:rsidRPr="00D903CD">
        <w:t xml:space="preserve">en </w:t>
      </w:r>
      <w:r w:rsidR="00243095" w:rsidRPr="00D903CD">
        <w:t>20</w:t>
      </w:r>
      <w:r w:rsidR="00A06F04">
        <w:t>20</w:t>
      </w:r>
      <w:r w:rsidR="00F74099" w:rsidRPr="00D903CD">
        <w:t>.</w:t>
      </w:r>
      <w:r w:rsidR="0069610D">
        <w:t xml:space="preserve"> </w:t>
      </w:r>
    </w:p>
    <w:p w:rsidR="00082770" w:rsidRDefault="00082770" w:rsidP="003B121C">
      <w:pPr>
        <w:ind w:right="118"/>
        <w:jc w:val="both"/>
      </w:pPr>
    </w:p>
    <w:p w:rsidR="00082770" w:rsidRPr="00D903CD" w:rsidRDefault="00082770" w:rsidP="00082770">
      <w:pPr>
        <w:ind w:right="16"/>
        <w:jc w:val="center"/>
        <w:rPr>
          <w:b/>
          <w:color w:val="FF0066"/>
          <w:sz w:val="40"/>
          <w:szCs w:val="40"/>
        </w:rPr>
      </w:pPr>
      <w:r w:rsidRPr="00D903CD">
        <w:rPr>
          <w:b/>
          <w:color w:val="FF0066"/>
          <w:sz w:val="40"/>
          <w:szCs w:val="40"/>
        </w:rPr>
        <w:lastRenderedPageBreak/>
        <w:t>Partie Thématique</w:t>
      </w:r>
      <w:r w:rsidR="005D0FF0">
        <w:rPr>
          <w:b/>
          <w:color w:val="FF0066"/>
          <w:sz w:val="40"/>
          <w:szCs w:val="40"/>
        </w:rPr>
        <w:t> :</w:t>
      </w:r>
      <w:r w:rsidRPr="00D903CD">
        <w:rPr>
          <w:b/>
          <w:color w:val="FF0066"/>
          <w:sz w:val="40"/>
          <w:szCs w:val="40"/>
        </w:rPr>
        <w:t xml:space="preserve"> </w:t>
      </w:r>
      <w:r>
        <w:rPr>
          <w:b/>
          <w:color w:val="FF0066"/>
          <w:sz w:val="40"/>
          <w:szCs w:val="40"/>
        </w:rPr>
        <w:t>Les TPE et le Prêt Garanti par l’Etat (PGE)</w:t>
      </w:r>
      <w:r w:rsidRPr="00BF70D2">
        <w:rPr>
          <w:b/>
          <w:color w:val="FF0066"/>
          <w:sz w:val="40"/>
          <w:szCs w:val="40"/>
        </w:rPr>
        <w:t xml:space="preserve"> </w:t>
      </w:r>
    </w:p>
    <w:p w:rsidR="00FC7155" w:rsidRDefault="00082770" w:rsidP="00082770">
      <w:pPr>
        <w:spacing w:after="0" w:line="240" w:lineRule="auto"/>
        <w:ind w:right="17"/>
      </w:pPr>
      <w:r w:rsidRPr="00FC7155">
        <w:rPr>
          <w:b/>
        </w:rPr>
        <w:t>Rappel</w:t>
      </w:r>
      <w:r w:rsidRPr="00FC7155">
        <w:rPr>
          <w:b/>
          <w:color w:val="333333"/>
          <w:shd w:val="clear" w:color="auto" w:fill="FFFFFF"/>
        </w:rPr>
        <w:t> :</w:t>
      </w:r>
      <w:r>
        <w:rPr>
          <w:b/>
          <w:color w:val="333333"/>
          <w:shd w:val="clear" w:color="auto" w:fill="FFFFFF"/>
        </w:rPr>
        <w:t xml:space="preserve"> </w:t>
      </w:r>
      <w:r w:rsidR="005730EC">
        <w:t xml:space="preserve">Le Prêt Garanti par l’Etat </w:t>
      </w:r>
      <w:r w:rsidRPr="00FC7155">
        <w:t>a été créé au début de la crise sanitaire</w:t>
      </w:r>
      <w:r w:rsidR="005D0FF0">
        <w:t xml:space="preserve">. </w:t>
      </w:r>
      <w:r w:rsidR="00FC7155">
        <w:t>C</w:t>
      </w:r>
      <w:r w:rsidRPr="00FC7155">
        <w:t xml:space="preserve">réé dès le mois de mars 2020, le PGE constitue une aide à la trésorerie pour toutes les entreprises, quels que soient leur secteur et leur taille. Il peut représenter jusqu'à trois mois de chiffre d'affaires. La garantie de l'Etat représente </w:t>
      </w:r>
      <w:r w:rsidR="00FC7155">
        <w:t xml:space="preserve">au moins </w:t>
      </w:r>
      <w:r w:rsidRPr="00FC7155">
        <w:t>70% du prêt</w:t>
      </w:r>
      <w:r w:rsidR="00FC7155">
        <w:t xml:space="preserve">. Ce prêt, </w:t>
      </w:r>
      <w:r w:rsidRPr="00FC7155">
        <w:t xml:space="preserve">censé disparaître au 31 décembre 2021, le dispositif de prêt garanti par l'Etat (PGE) </w:t>
      </w:r>
      <w:r w:rsidR="00FC7155">
        <w:t xml:space="preserve">a été </w:t>
      </w:r>
      <w:r w:rsidRPr="00FC7155">
        <w:t>prolongé jusqu'à fin juin 2022</w:t>
      </w:r>
      <w:r w:rsidR="00FC7155">
        <w:t>.</w:t>
      </w:r>
      <w:r w:rsidRPr="00FC7155">
        <w:t xml:space="preserve">Toutes les entreprises qui avaient des perspectives avant la crise sanitaire doivent pleinement profiter de la reprise. C'est pourquoi </w:t>
      </w:r>
      <w:r w:rsidR="00FC7155">
        <w:t>la distribution des PG</w:t>
      </w:r>
      <w:r w:rsidR="005730EC">
        <w:t>E</w:t>
      </w:r>
      <w:r w:rsidR="00FC7155">
        <w:t xml:space="preserve"> a été prolongée de six mois.</w:t>
      </w:r>
    </w:p>
    <w:p w:rsidR="0096401A" w:rsidRPr="00B24428" w:rsidRDefault="0096401A" w:rsidP="00082770">
      <w:pPr>
        <w:spacing w:after="0" w:line="240" w:lineRule="auto"/>
        <w:ind w:right="17"/>
        <w:rPr>
          <w:b/>
          <w:i/>
          <w:color w:val="FF0000"/>
        </w:rPr>
      </w:pPr>
      <w:r w:rsidRPr="00B24428">
        <w:rPr>
          <w:b/>
          <w:i/>
          <w:color w:val="FF0000"/>
        </w:rPr>
        <w:t xml:space="preserve">5 - Demande : </w:t>
      </w:r>
    </w:p>
    <w:p w:rsidR="00FC7155" w:rsidRPr="00FC7155" w:rsidRDefault="00FC7155" w:rsidP="005730EC">
      <w:pPr>
        <w:spacing w:after="0" w:line="240" w:lineRule="auto"/>
        <w:ind w:right="17"/>
        <w:rPr>
          <w:b/>
        </w:rPr>
      </w:pPr>
      <w:r w:rsidRPr="00FC7155">
        <w:rPr>
          <w:b/>
        </w:rPr>
        <w:t>Comment faire une demande de PGE ?</w:t>
      </w:r>
    </w:p>
    <w:p w:rsidR="0096401A" w:rsidRDefault="00FC7155" w:rsidP="0096401A">
      <w:pPr>
        <w:spacing w:after="0" w:line="240" w:lineRule="auto"/>
        <w:ind w:right="17"/>
      </w:pPr>
      <w:r w:rsidRPr="00FC7155">
        <w:t>Le PGE n'est pas un prêt octroyé par l'Etat. </w:t>
      </w:r>
      <w:r w:rsidR="0096401A">
        <w:t>Pour obtenir ce prêt, l</w:t>
      </w:r>
      <w:r w:rsidR="0096401A" w:rsidRPr="002D3B54">
        <w:t>'entreprise doit prendre rendez-vous auprès de sa banque habituelle qui donne un pré-accord. La démarche se fait ensuite en ligne auprès de </w:t>
      </w:r>
      <w:r w:rsidR="0096401A">
        <w:t>BPI</w:t>
      </w:r>
      <w:r w:rsidR="0096401A" w:rsidRPr="002D3B54">
        <w:t> France qui renvoie un numéro unique. L'entreprise communique ce numéro à sa banque qui peut alors débloquer le montant du prêt.</w:t>
      </w:r>
    </w:p>
    <w:p w:rsidR="00FC7155" w:rsidRDefault="00FC7155" w:rsidP="00082770">
      <w:pPr>
        <w:spacing w:after="0" w:line="240" w:lineRule="auto"/>
        <w:ind w:right="17"/>
        <w:rPr>
          <w:rFonts w:ascii="Arial" w:hAnsi="Arial" w:cs="Arial"/>
          <w:color w:val="1D1D1B"/>
          <w:spacing w:val="-6"/>
          <w:shd w:val="clear" w:color="auto" w:fill="FFFFFF"/>
        </w:rPr>
      </w:pPr>
    </w:p>
    <w:p w:rsidR="00082770" w:rsidRDefault="00082770" w:rsidP="00082770">
      <w:pPr>
        <w:ind w:right="118"/>
        <w:jc w:val="both"/>
        <w:rPr>
          <w:b/>
          <w:i/>
        </w:rPr>
      </w:pPr>
      <w:r w:rsidRPr="00D903CD">
        <w:rPr>
          <w:b/>
          <w:i/>
        </w:rPr>
        <w:t>5 -</w:t>
      </w:r>
      <w:r w:rsidR="005730EC">
        <w:rPr>
          <w:b/>
          <w:i/>
        </w:rPr>
        <w:t xml:space="preserve">1 Avez-vous eu recours au PGE </w:t>
      </w:r>
      <w:r w:rsidRPr="00D903CD">
        <w:rPr>
          <w:b/>
          <w:i/>
        </w:rPr>
        <w:t xml:space="preserve">? </w:t>
      </w:r>
    </w:p>
    <w:p w:rsidR="00082770" w:rsidRPr="00D903CD" w:rsidRDefault="005730EC" w:rsidP="00082770">
      <w:pPr>
        <w:ind w:right="118"/>
        <w:jc w:val="both"/>
        <w:rPr>
          <w:rFonts w:asciiTheme="minorHAnsi" w:hAnsiTheme="minorHAnsi"/>
          <w:color w:val="333333"/>
          <w:sz w:val="24"/>
          <w:szCs w:val="24"/>
          <w:shd w:val="clear" w:color="auto" w:fill="FFFFFF"/>
        </w:rPr>
      </w:pPr>
      <w:r>
        <w:rPr>
          <w:noProof/>
          <w:lang w:eastAsia="fr-FR"/>
        </w:rPr>
        <w:drawing>
          <wp:inline distT="0" distB="0" distL="0" distR="0" wp14:anchorId="3204B374" wp14:editId="38F334F5">
            <wp:extent cx="6639339" cy="2639833"/>
            <wp:effectExtent l="0" t="0" r="9525" b="27305"/>
            <wp:docPr id="25" name="Graphique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82770" w:rsidRDefault="005E18F4" w:rsidP="00082770">
      <w:pPr>
        <w:spacing w:after="0" w:line="240" w:lineRule="auto"/>
        <w:ind w:right="17"/>
      </w:pPr>
      <w:r>
        <w:t xml:space="preserve">Un peu plus d’un quart des </w:t>
      </w:r>
      <w:r w:rsidR="00082770" w:rsidRPr="00D903CD">
        <w:t>chefs d’entreprises</w:t>
      </w:r>
      <w:r w:rsidR="005D0FF0">
        <w:t xml:space="preserve"> ayant répondu à l’enquête </w:t>
      </w:r>
      <w:r>
        <w:t xml:space="preserve">(27,7%) </w:t>
      </w:r>
      <w:r w:rsidR="005730EC">
        <w:t>ont fait une demande de PGE</w:t>
      </w:r>
      <w:r w:rsidR="00082770" w:rsidRPr="00C22FA5">
        <w:t xml:space="preserve">. </w:t>
      </w:r>
      <w:r w:rsidR="00082770" w:rsidRPr="00D903CD">
        <w:t xml:space="preserve"> </w:t>
      </w:r>
    </w:p>
    <w:p w:rsidR="005D0FF0" w:rsidRPr="00D903CD" w:rsidRDefault="005D0FF0" w:rsidP="005D0FF0">
      <w:pPr>
        <w:ind w:right="16"/>
        <w:jc w:val="both"/>
      </w:pPr>
      <w:r>
        <w:t xml:space="preserve">Ils </w:t>
      </w:r>
      <w:r w:rsidRPr="00D903CD">
        <w:t>viennent principalement des secteurs «</w:t>
      </w:r>
      <w:r>
        <w:t>Equipement de la personne</w:t>
      </w:r>
      <w:r w:rsidRPr="00D903CD">
        <w:t xml:space="preserve"> » pour </w:t>
      </w:r>
      <w:r>
        <w:t>56,0</w:t>
      </w:r>
      <w:r w:rsidRPr="00D903CD">
        <w:t>%,</w:t>
      </w:r>
      <w:r>
        <w:t xml:space="preserve"> suivis du secteur </w:t>
      </w:r>
      <w:r w:rsidRPr="00D903CD">
        <w:t>«</w:t>
      </w:r>
      <w:r>
        <w:t>Culture et Loisirs »</w:t>
      </w:r>
      <w:r w:rsidRPr="00D903CD">
        <w:t xml:space="preserve"> </w:t>
      </w:r>
      <w:r>
        <w:t xml:space="preserve">48,10%  </w:t>
      </w:r>
      <w:r w:rsidRPr="00D903CD">
        <w:t>et «</w:t>
      </w:r>
      <w:r>
        <w:t>Café hôtellerie restauration</w:t>
      </w:r>
      <w:r w:rsidRPr="00D903CD">
        <w:t xml:space="preserve">» pour </w:t>
      </w:r>
      <w:r>
        <w:t>45,9</w:t>
      </w:r>
      <w:r w:rsidRPr="00D903CD">
        <w:t>%</w:t>
      </w:r>
      <w:r>
        <w:t xml:space="preserve">. Le secteur «Santé» arrive en dernier avec </w:t>
      </w:r>
      <w:r w:rsidRPr="00D903CD">
        <w:t xml:space="preserve"> </w:t>
      </w:r>
      <w:r>
        <w:t>15,1%.</w:t>
      </w:r>
    </w:p>
    <w:p w:rsidR="005D0FF0" w:rsidRDefault="005D0FF0" w:rsidP="00082770">
      <w:pPr>
        <w:spacing w:after="0" w:line="240" w:lineRule="auto"/>
        <w:ind w:right="17"/>
      </w:pPr>
    </w:p>
    <w:p w:rsidR="00374BB2" w:rsidRDefault="00374BB2" w:rsidP="00082770">
      <w:pPr>
        <w:spacing w:after="0" w:line="240" w:lineRule="auto"/>
        <w:ind w:right="17"/>
      </w:pPr>
      <w:r>
        <w:rPr>
          <w:noProof/>
          <w:lang w:eastAsia="fr-FR"/>
        </w:rPr>
        <w:drawing>
          <wp:inline distT="0" distB="0" distL="0" distR="0" wp14:anchorId="385CFFA9" wp14:editId="368ECFED">
            <wp:extent cx="6639339" cy="3061252"/>
            <wp:effectExtent l="0" t="0" r="9525" b="25400"/>
            <wp:docPr id="26" name="Graphique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374BB2" w:rsidRPr="0096401A" w:rsidRDefault="0096401A" w:rsidP="00082770">
      <w:pPr>
        <w:spacing w:after="0" w:line="240" w:lineRule="auto"/>
        <w:ind w:right="17"/>
        <w:rPr>
          <w:b/>
        </w:rPr>
      </w:pPr>
      <w:r w:rsidRPr="0096401A">
        <w:rPr>
          <w:b/>
        </w:rPr>
        <w:lastRenderedPageBreak/>
        <w:t xml:space="preserve">5-2 : </w:t>
      </w:r>
      <w:r w:rsidRPr="00C54029">
        <w:rPr>
          <w:b/>
          <w:color w:val="FF0000"/>
        </w:rPr>
        <w:t xml:space="preserve">Si Oui, </w:t>
      </w:r>
      <w:r w:rsidRPr="0096401A">
        <w:rPr>
          <w:b/>
        </w:rPr>
        <w:t xml:space="preserve">l’avez-vous utilisé ? </w:t>
      </w:r>
    </w:p>
    <w:p w:rsidR="0096401A" w:rsidRPr="0096401A" w:rsidRDefault="0096401A" w:rsidP="0096401A">
      <w:pPr>
        <w:tabs>
          <w:tab w:val="left" w:pos="9679"/>
        </w:tabs>
        <w:spacing w:after="0" w:line="240" w:lineRule="auto"/>
        <w:ind w:right="17"/>
        <w:rPr>
          <w:b/>
        </w:rPr>
      </w:pPr>
      <w:r w:rsidRPr="0096401A">
        <w:rPr>
          <w:b/>
        </w:rPr>
        <w:t xml:space="preserve">Pour investir, pour conforter votre trésorerie, pour faire face à vos charges courantes ou autres. </w:t>
      </w:r>
      <w:r w:rsidRPr="0096401A">
        <w:rPr>
          <w:b/>
        </w:rPr>
        <w:tab/>
      </w:r>
    </w:p>
    <w:p w:rsidR="0096401A" w:rsidRDefault="0096401A" w:rsidP="00082770">
      <w:pPr>
        <w:spacing w:after="0" w:line="240" w:lineRule="auto"/>
        <w:ind w:right="17"/>
      </w:pPr>
    </w:p>
    <w:p w:rsidR="0096401A" w:rsidRDefault="0096401A" w:rsidP="00082770">
      <w:pPr>
        <w:spacing w:after="0" w:line="240" w:lineRule="auto"/>
        <w:ind w:right="17"/>
      </w:pPr>
      <w:r>
        <w:rPr>
          <w:noProof/>
          <w:lang w:eastAsia="fr-FR"/>
        </w:rPr>
        <w:drawing>
          <wp:inline distT="0" distB="0" distL="0" distR="0" wp14:anchorId="206E9867" wp14:editId="29872DB2">
            <wp:extent cx="6559826" cy="3617844"/>
            <wp:effectExtent l="0" t="0" r="12700" b="20955"/>
            <wp:docPr id="27" name="Graphique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082770" w:rsidRPr="00294651" w:rsidRDefault="00082770" w:rsidP="00082770">
      <w:pPr>
        <w:spacing w:after="0" w:line="240" w:lineRule="auto"/>
        <w:ind w:right="17"/>
        <w:rPr>
          <w:sz w:val="16"/>
          <w:szCs w:val="16"/>
        </w:rPr>
      </w:pPr>
    </w:p>
    <w:p w:rsidR="0096401A" w:rsidRPr="00D903CD" w:rsidRDefault="00D81763" w:rsidP="0096401A">
      <w:pPr>
        <w:ind w:right="16"/>
        <w:jc w:val="both"/>
      </w:pPr>
      <w:r>
        <w:t>Ce prêt a servi essentiellement (</w:t>
      </w:r>
      <w:r w:rsidR="0096401A">
        <w:t>84,4%</w:t>
      </w:r>
      <w:r>
        <w:t>)</w:t>
      </w:r>
      <w:r w:rsidR="00891EF8">
        <w:t xml:space="preserve"> pour conforter l</w:t>
      </w:r>
      <w:r>
        <w:t>a</w:t>
      </w:r>
      <w:r w:rsidR="00891EF8">
        <w:t xml:space="preserve"> trésorerie, </w:t>
      </w:r>
      <w:r>
        <w:t>(</w:t>
      </w:r>
      <w:r w:rsidR="00891EF8">
        <w:t>74,6</w:t>
      </w:r>
      <w:r>
        <w:t>)</w:t>
      </w:r>
      <w:r w:rsidR="00891EF8">
        <w:t>% pour faire face aux char</w:t>
      </w:r>
      <w:r>
        <w:t>ges</w:t>
      </w:r>
      <w:r w:rsidR="00891EF8">
        <w:t xml:space="preserve"> courantes, 26,7% pour investir et 17,6% pour d’autres motifs.</w:t>
      </w:r>
      <w:r w:rsidR="0096401A" w:rsidRPr="00D903CD">
        <w:t xml:space="preserve"> </w:t>
      </w:r>
    </w:p>
    <w:p w:rsidR="0096401A" w:rsidRDefault="0096401A" w:rsidP="00082770">
      <w:pPr>
        <w:spacing w:after="0" w:line="240" w:lineRule="auto"/>
        <w:ind w:right="17"/>
      </w:pPr>
    </w:p>
    <w:p w:rsidR="0096401A" w:rsidRDefault="00891EF8" w:rsidP="00891EF8">
      <w:pPr>
        <w:spacing w:after="0" w:line="240" w:lineRule="auto"/>
        <w:ind w:right="17"/>
      </w:pPr>
      <w:r w:rsidRPr="0096401A">
        <w:rPr>
          <w:b/>
        </w:rPr>
        <w:t>5-</w:t>
      </w:r>
      <w:r w:rsidR="00C54029">
        <w:rPr>
          <w:b/>
        </w:rPr>
        <w:t>3</w:t>
      </w:r>
      <w:r w:rsidRPr="0096401A">
        <w:rPr>
          <w:b/>
        </w:rPr>
        <w:t xml:space="preserve"> : </w:t>
      </w:r>
      <w:r w:rsidRPr="00C54029">
        <w:rPr>
          <w:b/>
          <w:color w:val="FF0000"/>
        </w:rPr>
        <w:t>Si Non</w:t>
      </w:r>
      <w:r>
        <w:rPr>
          <w:b/>
        </w:rPr>
        <w:t>, Pour quelle raison</w:t>
      </w:r>
      <w:r w:rsidRPr="0096401A">
        <w:rPr>
          <w:b/>
        </w:rPr>
        <w:t xml:space="preserve"> ? </w:t>
      </w:r>
      <w:r w:rsidR="00B24428">
        <w:rPr>
          <w:b/>
        </w:rPr>
        <w:t xml:space="preserve"> </w:t>
      </w:r>
      <w:r>
        <w:rPr>
          <w:b/>
        </w:rPr>
        <w:t xml:space="preserve">Pas de demande faite, pas d’obtention, autres </w:t>
      </w:r>
    </w:p>
    <w:p w:rsidR="00891EF8" w:rsidRDefault="00891EF8" w:rsidP="00082770">
      <w:pPr>
        <w:spacing w:after="0"/>
        <w:ind w:right="119"/>
        <w:jc w:val="both"/>
        <w:rPr>
          <w:b/>
        </w:rPr>
      </w:pPr>
    </w:p>
    <w:p w:rsidR="00891EF8" w:rsidRDefault="00891EF8" w:rsidP="00082770">
      <w:pPr>
        <w:spacing w:after="0"/>
        <w:ind w:right="119"/>
        <w:jc w:val="both"/>
        <w:rPr>
          <w:b/>
        </w:rPr>
      </w:pPr>
      <w:r>
        <w:rPr>
          <w:noProof/>
          <w:lang w:eastAsia="fr-FR"/>
        </w:rPr>
        <w:drawing>
          <wp:inline distT="0" distB="0" distL="0" distR="0" wp14:anchorId="38478859" wp14:editId="3BA2E9CD">
            <wp:extent cx="5972810" cy="3173730"/>
            <wp:effectExtent l="0" t="0" r="27940" b="26670"/>
            <wp:docPr id="18" name="Graphique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891EF8" w:rsidRDefault="00891EF8" w:rsidP="00082770">
      <w:pPr>
        <w:spacing w:after="0"/>
        <w:ind w:right="119"/>
        <w:jc w:val="both"/>
        <w:rPr>
          <w:b/>
        </w:rPr>
      </w:pPr>
    </w:p>
    <w:p w:rsidR="00B24428" w:rsidRPr="00B24428" w:rsidRDefault="00891EF8" w:rsidP="00082770">
      <w:pPr>
        <w:spacing w:after="0"/>
        <w:ind w:right="119"/>
        <w:jc w:val="both"/>
      </w:pPr>
      <w:r w:rsidRPr="00B24428">
        <w:t xml:space="preserve">81,9% des </w:t>
      </w:r>
      <w:r w:rsidR="0070453E">
        <w:t xml:space="preserve">chefs d’entreprises </w:t>
      </w:r>
      <w:r w:rsidRPr="00B24428">
        <w:t>qui n’ont pas bénéficié du PGE n’ont pas fait de demande</w:t>
      </w:r>
      <w:r w:rsidR="00B24428" w:rsidRPr="00B24428">
        <w:t>.</w:t>
      </w:r>
      <w:r w:rsidRPr="00B24428">
        <w:t xml:space="preserve"> </w:t>
      </w:r>
    </w:p>
    <w:p w:rsidR="00891EF8" w:rsidRPr="00B24428" w:rsidRDefault="00891EF8" w:rsidP="00082770">
      <w:pPr>
        <w:spacing w:after="0"/>
        <w:ind w:right="119"/>
        <w:jc w:val="both"/>
      </w:pPr>
      <w:r w:rsidRPr="00B24428">
        <w:t>15,8% n’ont pas eu</w:t>
      </w:r>
      <w:r w:rsidR="00B24428" w:rsidRPr="00B24428">
        <w:t xml:space="preserve"> droit à ce prêt et 28,2% pour d’autres raison n’ont pas fait de demande.</w:t>
      </w:r>
    </w:p>
    <w:p w:rsidR="00891EF8" w:rsidRDefault="00891EF8" w:rsidP="00082770">
      <w:pPr>
        <w:spacing w:after="0"/>
        <w:ind w:right="119"/>
        <w:jc w:val="both"/>
        <w:rPr>
          <w:b/>
        </w:rPr>
      </w:pPr>
    </w:p>
    <w:p w:rsidR="00891EF8" w:rsidRDefault="00891EF8" w:rsidP="00082770">
      <w:pPr>
        <w:spacing w:after="0"/>
        <w:ind w:right="119"/>
        <w:jc w:val="both"/>
        <w:rPr>
          <w:b/>
        </w:rPr>
      </w:pPr>
    </w:p>
    <w:p w:rsidR="00B24428" w:rsidRPr="00B24428" w:rsidRDefault="00B24428" w:rsidP="00B24428">
      <w:pPr>
        <w:spacing w:after="0" w:line="240" w:lineRule="auto"/>
        <w:ind w:right="17"/>
        <w:rPr>
          <w:b/>
          <w:i/>
          <w:color w:val="FF0000"/>
        </w:rPr>
      </w:pPr>
      <w:r>
        <w:rPr>
          <w:b/>
          <w:i/>
          <w:color w:val="FF0000"/>
        </w:rPr>
        <w:lastRenderedPageBreak/>
        <w:t xml:space="preserve">6 - Remboursement </w:t>
      </w:r>
      <w:r w:rsidRPr="00B24428">
        <w:rPr>
          <w:b/>
          <w:i/>
          <w:color w:val="FF0000"/>
        </w:rPr>
        <w:t xml:space="preserve">: </w:t>
      </w:r>
    </w:p>
    <w:p w:rsidR="00B24428" w:rsidRPr="00B24428" w:rsidRDefault="00B24428" w:rsidP="00C54029">
      <w:pPr>
        <w:spacing w:after="0" w:line="240" w:lineRule="auto"/>
        <w:ind w:right="17"/>
        <w:rPr>
          <w:b/>
        </w:rPr>
      </w:pPr>
      <w:r w:rsidRPr="00FC7155">
        <w:rPr>
          <w:b/>
        </w:rPr>
        <w:t xml:space="preserve">Comment </w:t>
      </w:r>
      <w:r>
        <w:rPr>
          <w:b/>
        </w:rPr>
        <w:t xml:space="preserve">rembourser le PGE ? </w:t>
      </w:r>
      <w:r w:rsidR="0070453E">
        <w:rPr>
          <w:b/>
        </w:rPr>
        <w:t xml:space="preserve">Le </w:t>
      </w:r>
      <w:r w:rsidR="0031619E">
        <w:rPr>
          <w:b/>
        </w:rPr>
        <w:t>report n’est pas automatique.</w:t>
      </w:r>
    </w:p>
    <w:p w:rsidR="00B24428" w:rsidRDefault="00B24428" w:rsidP="00C54029">
      <w:pPr>
        <w:spacing w:after="0"/>
        <w:ind w:right="119"/>
        <w:jc w:val="both"/>
      </w:pPr>
      <w:r w:rsidRPr="00B24428">
        <w:t>Suite aux annonces du ministre de l’Économie, des Finances et de la Relance le 14 janvier 2021, il a été convenu avec la Fédération bancaire française, que toutes les entreprises qui l</w:t>
      </w:r>
      <w:bookmarkStart w:id="0" w:name="_GoBack"/>
      <w:bookmarkEnd w:id="0"/>
      <w:r w:rsidRPr="00B24428">
        <w:t>e souhaitent, quelles que soient leur activité et leur taille, aient le</w:t>
      </w:r>
      <w:r w:rsidRPr="00C54029">
        <w:t> droit d’obtenir un différé d’un an supplémentaire pour commencer à rembourser leur prêt garanti par l’État (PGE).</w:t>
      </w:r>
      <w:r w:rsidR="00C54029">
        <w:t xml:space="preserve"> </w:t>
      </w:r>
      <w:r w:rsidRPr="00B24428">
        <w:t xml:space="preserve">Dans tous les cas, peu importe </w:t>
      </w:r>
      <w:r w:rsidR="00C54029">
        <w:t>la</w:t>
      </w:r>
      <w:r w:rsidRPr="00B24428">
        <w:t xml:space="preserve"> décision sur le report ou le remboursement du PGE, une demande écrite sur </w:t>
      </w:r>
      <w:r w:rsidR="00C54029">
        <w:t>la</w:t>
      </w:r>
      <w:r w:rsidRPr="00B24428">
        <w:t xml:space="preserve"> décision doit être faite auprès des banques dans lesquelles </w:t>
      </w:r>
      <w:r w:rsidR="0031619E">
        <w:t>le P</w:t>
      </w:r>
      <w:r w:rsidRPr="00B24428">
        <w:t>GE</w:t>
      </w:r>
      <w:r w:rsidR="0031619E">
        <w:t xml:space="preserve"> a été contracté</w:t>
      </w:r>
      <w:r w:rsidRPr="00B24428">
        <w:t xml:space="preserve">, 2 mois avant la date anniversaire du versement du PGE, sinon par défaut, sans décision de votre part, la somme empruntée </w:t>
      </w:r>
      <w:r w:rsidR="00C54029">
        <w:t>est</w:t>
      </w:r>
      <w:r w:rsidRPr="00B24428">
        <w:t xml:space="preserve"> prélevée par la banque.</w:t>
      </w:r>
    </w:p>
    <w:p w:rsidR="00C54029" w:rsidRDefault="00C54029" w:rsidP="00C54029">
      <w:pPr>
        <w:spacing w:after="0"/>
        <w:ind w:right="119"/>
        <w:jc w:val="both"/>
      </w:pPr>
    </w:p>
    <w:p w:rsidR="00C54029" w:rsidRDefault="00C54029" w:rsidP="00C54029">
      <w:pPr>
        <w:ind w:right="118"/>
        <w:jc w:val="both"/>
        <w:rPr>
          <w:b/>
          <w:i/>
        </w:rPr>
      </w:pPr>
      <w:r>
        <w:rPr>
          <w:b/>
          <w:i/>
        </w:rPr>
        <w:t>6</w:t>
      </w:r>
      <w:r w:rsidRPr="00D903CD">
        <w:rPr>
          <w:b/>
          <w:i/>
        </w:rPr>
        <w:t xml:space="preserve"> -</w:t>
      </w:r>
      <w:r>
        <w:rPr>
          <w:b/>
          <w:i/>
        </w:rPr>
        <w:t>1 Avez-vous remboursé le PGE à l’échéance initiale</w:t>
      </w:r>
      <w:r w:rsidRPr="00D903CD">
        <w:rPr>
          <w:b/>
          <w:i/>
        </w:rPr>
        <w:t xml:space="preserve">? </w:t>
      </w:r>
    </w:p>
    <w:p w:rsidR="00C54029" w:rsidRDefault="00C54029" w:rsidP="00C54029">
      <w:pPr>
        <w:ind w:right="118"/>
        <w:jc w:val="both"/>
        <w:rPr>
          <w:b/>
          <w:i/>
        </w:rPr>
      </w:pPr>
      <w:r>
        <w:rPr>
          <w:noProof/>
          <w:lang w:eastAsia="fr-FR"/>
        </w:rPr>
        <w:drawing>
          <wp:inline distT="0" distB="0" distL="0" distR="0" wp14:anchorId="39B804F8" wp14:editId="5D689919">
            <wp:extent cx="5972810" cy="2821305"/>
            <wp:effectExtent l="0" t="0" r="27940" b="17145"/>
            <wp:docPr id="30" name="Graphique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C54029" w:rsidRDefault="00C54029" w:rsidP="00C54029">
      <w:pPr>
        <w:spacing w:after="0" w:line="240" w:lineRule="auto"/>
        <w:ind w:right="17"/>
        <w:rPr>
          <w:noProof/>
          <w:lang w:eastAsia="fr-FR"/>
        </w:rPr>
      </w:pPr>
      <w:r>
        <w:rPr>
          <w:noProof/>
          <w:lang w:eastAsia="fr-FR"/>
        </w:rPr>
        <w:t>17,3% des adhérents interrogés ont remboursé le PGE à l’échéance initiale.</w:t>
      </w:r>
    </w:p>
    <w:p w:rsidR="00C54029" w:rsidRDefault="00C54029" w:rsidP="00C54029">
      <w:pPr>
        <w:spacing w:after="0" w:line="240" w:lineRule="auto"/>
        <w:ind w:right="17"/>
        <w:rPr>
          <w:noProof/>
          <w:lang w:eastAsia="fr-FR"/>
        </w:rPr>
      </w:pPr>
    </w:p>
    <w:p w:rsidR="00C54029" w:rsidRDefault="00C54029" w:rsidP="00C54029">
      <w:pPr>
        <w:spacing w:after="0" w:line="240" w:lineRule="auto"/>
        <w:ind w:right="17"/>
      </w:pPr>
      <w:r>
        <w:rPr>
          <w:b/>
        </w:rPr>
        <w:t>6</w:t>
      </w:r>
      <w:r w:rsidRPr="0096401A">
        <w:rPr>
          <w:b/>
        </w:rPr>
        <w:t>-</w:t>
      </w:r>
      <w:r>
        <w:rPr>
          <w:b/>
        </w:rPr>
        <w:t>2</w:t>
      </w:r>
      <w:r w:rsidRPr="0096401A">
        <w:rPr>
          <w:b/>
        </w:rPr>
        <w:t xml:space="preserve"> : </w:t>
      </w:r>
      <w:r w:rsidRPr="00C54029">
        <w:rPr>
          <w:b/>
          <w:color w:val="FF0000"/>
        </w:rPr>
        <w:t>Si Non</w:t>
      </w:r>
      <w:r>
        <w:rPr>
          <w:b/>
        </w:rPr>
        <w:t>, avez-vous demandé ?  R</w:t>
      </w:r>
      <w:r w:rsidR="0070453E">
        <w:rPr>
          <w:b/>
        </w:rPr>
        <w:t>e</w:t>
      </w:r>
      <w:r>
        <w:rPr>
          <w:b/>
        </w:rPr>
        <w:t xml:space="preserve">port d’un an, </w:t>
      </w:r>
      <w:r w:rsidR="0070453E">
        <w:rPr>
          <w:b/>
        </w:rPr>
        <w:t>une durée d’</w:t>
      </w:r>
      <w:r w:rsidR="0031619E">
        <w:rPr>
          <w:b/>
        </w:rPr>
        <w:t xml:space="preserve">étalement du PGE, </w:t>
      </w:r>
      <w:r w:rsidR="0070453E">
        <w:rPr>
          <w:b/>
        </w:rPr>
        <w:t xml:space="preserve">de moins de 5 ans ou plus de 5 ans </w:t>
      </w:r>
    </w:p>
    <w:p w:rsidR="0070453E" w:rsidRDefault="0070453E" w:rsidP="00C54029">
      <w:pPr>
        <w:spacing w:after="0" w:line="240" w:lineRule="auto"/>
        <w:ind w:right="17"/>
        <w:rPr>
          <w:b/>
        </w:rPr>
      </w:pPr>
    </w:p>
    <w:p w:rsidR="00C54029" w:rsidRDefault="0070453E" w:rsidP="0070453E">
      <w:pPr>
        <w:tabs>
          <w:tab w:val="left" w:pos="2755"/>
        </w:tabs>
        <w:spacing w:after="0" w:line="240" w:lineRule="auto"/>
        <w:ind w:right="17"/>
        <w:rPr>
          <w:b/>
        </w:rPr>
      </w:pPr>
      <w:r>
        <w:rPr>
          <w:b/>
        </w:rPr>
        <w:t xml:space="preserve"> Report d’an an : </w:t>
      </w:r>
      <w:r>
        <w:rPr>
          <w:b/>
        </w:rPr>
        <w:tab/>
      </w:r>
    </w:p>
    <w:p w:rsidR="00C54029" w:rsidRDefault="0070453E" w:rsidP="00C54029">
      <w:pPr>
        <w:spacing w:after="0" w:line="240" w:lineRule="auto"/>
        <w:ind w:right="17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5700C02A" wp14:editId="52D8E2A0">
            <wp:extent cx="6058894" cy="2584174"/>
            <wp:effectExtent l="0" t="0" r="18415" b="26035"/>
            <wp:docPr id="31" name="Graphique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70453E" w:rsidRDefault="0070453E" w:rsidP="00C54029">
      <w:pPr>
        <w:spacing w:after="0" w:line="240" w:lineRule="auto"/>
        <w:ind w:right="17"/>
        <w:rPr>
          <w:noProof/>
          <w:lang w:eastAsia="fr-FR"/>
        </w:rPr>
      </w:pPr>
    </w:p>
    <w:p w:rsidR="0070453E" w:rsidRDefault="0070453E" w:rsidP="00C54029">
      <w:pPr>
        <w:spacing w:after="0" w:line="240" w:lineRule="auto"/>
        <w:ind w:right="17"/>
        <w:rPr>
          <w:noProof/>
          <w:lang w:eastAsia="fr-FR"/>
        </w:rPr>
      </w:pPr>
      <w:r>
        <w:rPr>
          <w:noProof/>
          <w:lang w:eastAsia="fr-FR"/>
        </w:rPr>
        <w:t>48</w:t>
      </w:r>
      <w:r w:rsidR="0031619E">
        <w:rPr>
          <w:noProof/>
          <w:lang w:eastAsia="fr-FR"/>
        </w:rPr>
        <w:t>,9</w:t>
      </w:r>
      <w:r>
        <w:rPr>
          <w:noProof/>
          <w:lang w:eastAsia="fr-FR"/>
        </w:rPr>
        <w:t>% des entreprises ont demandé un report d’un an pour rembourser le PGE.</w:t>
      </w:r>
    </w:p>
    <w:p w:rsidR="0070453E" w:rsidRDefault="0070453E" w:rsidP="00C54029">
      <w:pPr>
        <w:spacing w:after="0" w:line="240" w:lineRule="auto"/>
        <w:ind w:right="17"/>
        <w:rPr>
          <w:noProof/>
          <w:lang w:eastAsia="fr-FR"/>
        </w:rPr>
      </w:pPr>
    </w:p>
    <w:p w:rsidR="0070453E" w:rsidRDefault="0070453E" w:rsidP="00C54029">
      <w:pPr>
        <w:spacing w:after="0" w:line="240" w:lineRule="auto"/>
        <w:ind w:right="17"/>
        <w:rPr>
          <w:noProof/>
          <w:lang w:eastAsia="fr-FR"/>
        </w:rPr>
      </w:pPr>
    </w:p>
    <w:p w:rsidR="0070453E" w:rsidRDefault="0070453E" w:rsidP="00C54029">
      <w:pPr>
        <w:spacing w:after="0" w:line="240" w:lineRule="auto"/>
        <w:ind w:right="17"/>
        <w:rPr>
          <w:noProof/>
          <w:lang w:eastAsia="fr-FR"/>
        </w:rPr>
      </w:pPr>
    </w:p>
    <w:p w:rsidR="0070453E" w:rsidRDefault="0070453E" w:rsidP="0070453E">
      <w:pPr>
        <w:tabs>
          <w:tab w:val="left" w:pos="2755"/>
        </w:tabs>
        <w:spacing w:after="0" w:line="240" w:lineRule="auto"/>
        <w:ind w:right="17"/>
        <w:rPr>
          <w:noProof/>
          <w:lang w:eastAsia="fr-FR"/>
        </w:rPr>
      </w:pPr>
      <w:r>
        <w:rPr>
          <w:b/>
        </w:rPr>
        <w:t xml:space="preserve">Durée d’étalement du PGE : </w:t>
      </w:r>
      <w:r>
        <w:rPr>
          <w:b/>
        </w:rPr>
        <w:tab/>
      </w:r>
      <w:r w:rsidRPr="0070453E">
        <w:rPr>
          <w:b/>
          <w:noProof/>
          <w:sz w:val="24"/>
          <w:szCs w:val="24"/>
          <w:lang w:eastAsia="fr-FR"/>
        </w:rPr>
        <w:t>Moins de 5 ans ou plus de 5ans</w:t>
      </w:r>
      <w:r>
        <w:rPr>
          <w:noProof/>
          <w:lang w:eastAsia="fr-FR"/>
        </w:rPr>
        <w:t xml:space="preserve"> </w:t>
      </w:r>
    </w:p>
    <w:p w:rsidR="0070453E" w:rsidRDefault="0070453E" w:rsidP="00C54029">
      <w:pPr>
        <w:spacing w:after="0" w:line="240" w:lineRule="auto"/>
        <w:ind w:right="17"/>
        <w:rPr>
          <w:noProof/>
          <w:lang w:eastAsia="fr-FR"/>
        </w:rPr>
      </w:pPr>
    </w:p>
    <w:p w:rsidR="0070453E" w:rsidRDefault="0070453E" w:rsidP="00C54029">
      <w:pPr>
        <w:spacing w:after="0" w:line="240" w:lineRule="auto"/>
        <w:ind w:right="17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65273C23" wp14:editId="2D3B04ED">
            <wp:extent cx="6464410" cy="2743200"/>
            <wp:effectExtent l="0" t="0" r="12700" b="19050"/>
            <wp:docPr id="32" name="Graphique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70453E" w:rsidRDefault="0070453E" w:rsidP="00C54029">
      <w:pPr>
        <w:spacing w:after="0" w:line="240" w:lineRule="auto"/>
        <w:ind w:right="17"/>
        <w:rPr>
          <w:noProof/>
          <w:lang w:eastAsia="fr-FR"/>
        </w:rPr>
      </w:pPr>
    </w:p>
    <w:p w:rsidR="0070453E" w:rsidRDefault="0070453E" w:rsidP="00C54029">
      <w:pPr>
        <w:spacing w:after="0" w:line="240" w:lineRule="auto"/>
        <w:ind w:right="17"/>
        <w:rPr>
          <w:noProof/>
          <w:lang w:eastAsia="fr-FR"/>
        </w:rPr>
      </w:pPr>
      <w:r>
        <w:rPr>
          <w:noProof/>
          <w:lang w:eastAsia="fr-FR"/>
        </w:rPr>
        <w:t xml:space="preserve">59,2% des adhérents interrogés ont fait le choix d’étaler el </w:t>
      </w:r>
      <w:r w:rsidR="00CD43CD">
        <w:rPr>
          <w:noProof/>
          <w:lang w:eastAsia="fr-FR"/>
        </w:rPr>
        <w:t xml:space="preserve">remboursement du PGE sur une durée de moins de 5 ans tandis que18,6% ont préfété un étalement sur plus de 5 ans </w:t>
      </w:r>
      <w:r w:rsidR="00A90CCE">
        <w:rPr>
          <w:noProof/>
          <w:lang w:eastAsia="fr-FR"/>
        </w:rPr>
        <w:t>.</w:t>
      </w:r>
    </w:p>
    <w:p w:rsidR="0070453E" w:rsidRDefault="0070453E" w:rsidP="00C54029">
      <w:pPr>
        <w:spacing w:after="0" w:line="240" w:lineRule="auto"/>
        <w:ind w:right="17"/>
        <w:rPr>
          <w:noProof/>
          <w:lang w:eastAsia="fr-FR"/>
        </w:rPr>
      </w:pPr>
    </w:p>
    <w:p w:rsidR="0070453E" w:rsidRDefault="0070453E" w:rsidP="00C54029">
      <w:pPr>
        <w:spacing w:after="0" w:line="240" w:lineRule="auto"/>
        <w:ind w:right="17"/>
        <w:rPr>
          <w:noProof/>
          <w:lang w:eastAsia="fr-FR"/>
        </w:rPr>
      </w:pPr>
    </w:p>
    <w:p w:rsidR="0070453E" w:rsidRDefault="0070453E" w:rsidP="00C54029">
      <w:pPr>
        <w:spacing w:after="0" w:line="240" w:lineRule="auto"/>
        <w:ind w:right="17"/>
        <w:rPr>
          <w:noProof/>
          <w:lang w:eastAsia="fr-FR"/>
        </w:rPr>
      </w:pPr>
    </w:p>
    <w:p w:rsidR="0070453E" w:rsidRDefault="0070453E" w:rsidP="0070453E">
      <w:pPr>
        <w:rPr>
          <w:lang w:eastAsia="fr-FR"/>
        </w:rPr>
      </w:pPr>
    </w:p>
    <w:p w:rsidR="0070453E" w:rsidRPr="0070453E" w:rsidRDefault="0070453E" w:rsidP="0070453E">
      <w:pPr>
        <w:rPr>
          <w:lang w:eastAsia="fr-FR"/>
        </w:rPr>
      </w:pPr>
    </w:p>
    <w:sectPr w:rsidR="0070453E" w:rsidRPr="0070453E" w:rsidSect="000C018A">
      <w:footerReference w:type="default" r:id="rId33"/>
      <w:pgSz w:w="11906" w:h="16838"/>
      <w:pgMar w:top="720" w:right="424" w:bottom="720" w:left="720" w:header="17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B78" w:rsidRDefault="00E04B78">
      <w:r>
        <w:separator/>
      </w:r>
    </w:p>
  </w:endnote>
  <w:endnote w:type="continuationSeparator" w:id="0">
    <w:p w:rsidR="00E04B78" w:rsidRDefault="00E04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B78" w:rsidRPr="00A45DFC" w:rsidRDefault="00E04B78">
    <w:pPr>
      <w:pStyle w:val="Pieddepage"/>
      <w:rPr>
        <w:sz w:val="18"/>
        <w:szCs w:val="18"/>
      </w:rPr>
    </w:pPr>
    <w:r w:rsidRPr="00A45DFC">
      <w:rPr>
        <w:sz w:val="18"/>
        <w:szCs w:val="18"/>
      </w:rPr>
      <w:t>Baromètre</w:t>
    </w:r>
    <w:r>
      <w:rPr>
        <w:sz w:val="18"/>
        <w:szCs w:val="18"/>
      </w:rPr>
      <w:t xml:space="preserve"> </w:t>
    </w:r>
    <w:r w:rsidR="008631E0">
      <w:rPr>
        <w:sz w:val="18"/>
        <w:szCs w:val="18"/>
      </w:rPr>
      <w:t>3</w:t>
    </w:r>
    <w:r w:rsidR="00DF37C5">
      <w:rPr>
        <w:sz w:val="18"/>
        <w:szCs w:val="18"/>
      </w:rPr>
      <w:t>T2021</w:t>
    </w:r>
    <w:r w:rsidRPr="00A45DFC">
      <w:rPr>
        <w:sz w:val="18"/>
        <w:szCs w:val="18"/>
      </w:rPr>
      <w:tab/>
    </w:r>
    <w:r w:rsidRPr="00A45DFC">
      <w:rPr>
        <w:sz w:val="18"/>
        <w:szCs w:val="18"/>
      </w:rPr>
      <w:tab/>
      <w:t xml:space="preserve">Page </w:t>
    </w:r>
    <w:r w:rsidRPr="00A45DFC">
      <w:rPr>
        <w:rStyle w:val="Numrodepage"/>
        <w:sz w:val="18"/>
        <w:szCs w:val="18"/>
      </w:rPr>
      <w:fldChar w:fldCharType="begin"/>
    </w:r>
    <w:r w:rsidRPr="00A45DFC">
      <w:rPr>
        <w:rStyle w:val="Numrodepage"/>
        <w:sz w:val="18"/>
        <w:szCs w:val="18"/>
      </w:rPr>
      <w:instrText xml:space="preserve"> PAGE </w:instrText>
    </w:r>
    <w:r w:rsidRPr="00A45DFC">
      <w:rPr>
        <w:rStyle w:val="Numrodepage"/>
        <w:sz w:val="18"/>
        <w:szCs w:val="18"/>
      </w:rPr>
      <w:fldChar w:fldCharType="separate"/>
    </w:r>
    <w:r w:rsidR="00D81763">
      <w:rPr>
        <w:rStyle w:val="Numrodepage"/>
        <w:noProof/>
        <w:sz w:val="18"/>
        <w:szCs w:val="18"/>
      </w:rPr>
      <w:t>12</w:t>
    </w:r>
    <w:r w:rsidRPr="00A45DFC">
      <w:rPr>
        <w:rStyle w:val="Numrodepage"/>
        <w:sz w:val="18"/>
        <w:szCs w:val="18"/>
      </w:rPr>
      <w:fldChar w:fldCharType="end"/>
    </w:r>
    <w:r w:rsidRPr="00A45DFC">
      <w:rPr>
        <w:rStyle w:val="Numrodepage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B78" w:rsidRDefault="00E04B78">
      <w:r>
        <w:separator/>
      </w:r>
    </w:p>
  </w:footnote>
  <w:footnote w:type="continuationSeparator" w:id="0">
    <w:p w:rsidR="00E04B78" w:rsidRDefault="00E04B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5E9"/>
      </v:shape>
    </w:pict>
  </w:numPicBullet>
  <w:abstractNum w:abstractNumId="0">
    <w:nsid w:val="054902B4"/>
    <w:multiLevelType w:val="multilevel"/>
    <w:tmpl w:val="BCA6D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F53FC4"/>
    <w:multiLevelType w:val="hybridMultilevel"/>
    <w:tmpl w:val="AB5EE95C"/>
    <w:lvl w:ilvl="0" w:tplc="8CD8B934">
      <w:start w:val="4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Arial Narrow" w:eastAsia="Times New Roman" w:hAnsi="Arial Narrow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">
    <w:nsid w:val="1459451E"/>
    <w:multiLevelType w:val="hybridMultilevel"/>
    <w:tmpl w:val="B19E694C"/>
    <w:lvl w:ilvl="0" w:tplc="BD40B5BE">
      <w:start w:val="1"/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884C3C"/>
    <w:multiLevelType w:val="hybridMultilevel"/>
    <w:tmpl w:val="49CEF7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5F76F3"/>
    <w:multiLevelType w:val="multilevel"/>
    <w:tmpl w:val="409AD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8D0CD3"/>
    <w:multiLevelType w:val="hybridMultilevel"/>
    <w:tmpl w:val="94F064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97067C"/>
    <w:multiLevelType w:val="multilevel"/>
    <w:tmpl w:val="B19E694C"/>
    <w:lvl w:ilvl="0">
      <w:start w:val="1"/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FC033ED"/>
    <w:multiLevelType w:val="multilevel"/>
    <w:tmpl w:val="8DBC0920"/>
    <w:lvl w:ilvl="0">
      <w:start w:val="5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568323E9"/>
    <w:multiLevelType w:val="multilevel"/>
    <w:tmpl w:val="B36852C8"/>
    <w:lvl w:ilvl="0">
      <w:start w:val="5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3"/>
      <w:numFmt w:val="decimal"/>
      <w:lvlText w:val="%1-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>
    <w:nsid w:val="591C4781"/>
    <w:multiLevelType w:val="hybridMultilevel"/>
    <w:tmpl w:val="AACA83D4"/>
    <w:lvl w:ilvl="0" w:tplc="685E79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750732"/>
    <w:multiLevelType w:val="multilevel"/>
    <w:tmpl w:val="97204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EA928F6"/>
    <w:multiLevelType w:val="multilevel"/>
    <w:tmpl w:val="2D789FD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7451182E"/>
    <w:multiLevelType w:val="hybridMultilevel"/>
    <w:tmpl w:val="D1483848"/>
    <w:lvl w:ilvl="0" w:tplc="08B200B0">
      <w:numFmt w:val="bullet"/>
      <w:lvlText w:val="-"/>
      <w:lvlJc w:val="left"/>
      <w:pPr>
        <w:ind w:left="1428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7E931349"/>
    <w:multiLevelType w:val="hybridMultilevel"/>
    <w:tmpl w:val="3454FA42"/>
    <w:lvl w:ilvl="0" w:tplc="685E79AE">
      <w:start w:val="1"/>
      <w:numFmt w:val="bullet"/>
      <w:lvlText w:val=""/>
      <w:lvlPicBulletId w:val="0"/>
      <w:lvlJc w:val="left"/>
      <w:pPr>
        <w:tabs>
          <w:tab w:val="num" w:pos="6881"/>
        </w:tabs>
        <w:ind w:left="688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ED506EA"/>
    <w:multiLevelType w:val="hybridMultilevel"/>
    <w:tmpl w:val="50309C24"/>
    <w:lvl w:ilvl="0" w:tplc="685E79A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F3B4B9B"/>
    <w:multiLevelType w:val="multilevel"/>
    <w:tmpl w:val="72EE8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14"/>
  </w:num>
  <w:num w:numId="4">
    <w:abstractNumId w:val="13"/>
  </w:num>
  <w:num w:numId="5">
    <w:abstractNumId w:val="7"/>
  </w:num>
  <w:num w:numId="6">
    <w:abstractNumId w:val="8"/>
  </w:num>
  <w:num w:numId="7">
    <w:abstractNumId w:val="1"/>
  </w:num>
  <w:num w:numId="8">
    <w:abstractNumId w:val="11"/>
  </w:num>
  <w:num w:numId="9">
    <w:abstractNumId w:val="9"/>
  </w:num>
  <w:num w:numId="10">
    <w:abstractNumId w:val="15"/>
  </w:num>
  <w:num w:numId="11">
    <w:abstractNumId w:val="4"/>
  </w:num>
  <w:num w:numId="12">
    <w:abstractNumId w:val="3"/>
  </w:num>
  <w:num w:numId="13">
    <w:abstractNumId w:val="12"/>
  </w:num>
  <w:num w:numId="14">
    <w:abstractNumId w:val="0"/>
  </w:num>
  <w:num w:numId="15">
    <w:abstractNumId w:val="5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63F"/>
    <w:rsid w:val="00002BEF"/>
    <w:rsid w:val="0000789E"/>
    <w:rsid w:val="000101A0"/>
    <w:rsid w:val="000159F5"/>
    <w:rsid w:val="0001666E"/>
    <w:rsid w:val="000269B8"/>
    <w:rsid w:val="0003038D"/>
    <w:rsid w:val="000326D7"/>
    <w:rsid w:val="00036AC2"/>
    <w:rsid w:val="000375C8"/>
    <w:rsid w:val="00037F1D"/>
    <w:rsid w:val="000519BA"/>
    <w:rsid w:val="00053558"/>
    <w:rsid w:val="0006448F"/>
    <w:rsid w:val="000730DA"/>
    <w:rsid w:val="00074606"/>
    <w:rsid w:val="00077E45"/>
    <w:rsid w:val="000800DE"/>
    <w:rsid w:val="0008101A"/>
    <w:rsid w:val="00082770"/>
    <w:rsid w:val="00091255"/>
    <w:rsid w:val="00097352"/>
    <w:rsid w:val="000A144C"/>
    <w:rsid w:val="000B198C"/>
    <w:rsid w:val="000B1BD2"/>
    <w:rsid w:val="000B4180"/>
    <w:rsid w:val="000B787F"/>
    <w:rsid w:val="000C018A"/>
    <w:rsid w:val="000C0B11"/>
    <w:rsid w:val="000C314D"/>
    <w:rsid w:val="000C6E6F"/>
    <w:rsid w:val="000C6F80"/>
    <w:rsid w:val="000C75B9"/>
    <w:rsid w:val="000C7A64"/>
    <w:rsid w:val="000D403C"/>
    <w:rsid w:val="000D55F8"/>
    <w:rsid w:val="000E284C"/>
    <w:rsid w:val="000E2FBC"/>
    <w:rsid w:val="000E7BA2"/>
    <w:rsid w:val="000F1029"/>
    <w:rsid w:val="000F4975"/>
    <w:rsid w:val="000F7550"/>
    <w:rsid w:val="00103420"/>
    <w:rsid w:val="00104CBB"/>
    <w:rsid w:val="00111212"/>
    <w:rsid w:val="00112A11"/>
    <w:rsid w:val="00113E01"/>
    <w:rsid w:val="00120075"/>
    <w:rsid w:val="0012064E"/>
    <w:rsid w:val="001207FD"/>
    <w:rsid w:val="001209A6"/>
    <w:rsid w:val="001239D7"/>
    <w:rsid w:val="00125F2A"/>
    <w:rsid w:val="001272D1"/>
    <w:rsid w:val="00130037"/>
    <w:rsid w:val="00132E87"/>
    <w:rsid w:val="00134330"/>
    <w:rsid w:val="0013619E"/>
    <w:rsid w:val="00137CAB"/>
    <w:rsid w:val="00137DBA"/>
    <w:rsid w:val="00137EE4"/>
    <w:rsid w:val="0014389C"/>
    <w:rsid w:val="00144002"/>
    <w:rsid w:val="00151CEC"/>
    <w:rsid w:val="001525D6"/>
    <w:rsid w:val="00152F8C"/>
    <w:rsid w:val="001546DD"/>
    <w:rsid w:val="00156470"/>
    <w:rsid w:val="00160749"/>
    <w:rsid w:val="00161B1B"/>
    <w:rsid w:val="001627AF"/>
    <w:rsid w:val="0016520E"/>
    <w:rsid w:val="00165921"/>
    <w:rsid w:val="00167C08"/>
    <w:rsid w:val="001701B0"/>
    <w:rsid w:val="001729BC"/>
    <w:rsid w:val="00173C6F"/>
    <w:rsid w:val="00174CDE"/>
    <w:rsid w:val="001757B6"/>
    <w:rsid w:val="00180425"/>
    <w:rsid w:val="00180C7A"/>
    <w:rsid w:val="0018176F"/>
    <w:rsid w:val="00183224"/>
    <w:rsid w:val="00183B02"/>
    <w:rsid w:val="0018477D"/>
    <w:rsid w:val="00186714"/>
    <w:rsid w:val="0018695D"/>
    <w:rsid w:val="00190631"/>
    <w:rsid w:val="00194BA4"/>
    <w:rsid w:val="00194DA3"/>
    <w:rsid w:val="00196FC5"/>
    <w:rsid w:val="001A0ACF"/>
    <w:rsid w:val="001A1631"/>
    <w:rsid w:val="001A19BE"/>
    <w:rsid w:val="001A3A05"/>
    <w:rsid w:val="001A6645"/>
    <w:rsid w:val="001B016B"/>
    <w:rsid w:val="001B2DA0"/>
    <w:rsid w:val="001B34C0"/>
    <w:rsid w:val="001B4F23"/>
    <w:rsid w:val="001C0E87"/>
    <w:rsid w:val="001C4A7E"/>
    <w:rsid w:val="001C6D87"/>
    <w:rsid w:val="001D118D"/>
    <w:rsid w:val="001D227D"/>
    <w:rsid w:val="001D368B"/>
    <w:rsid w:val="001D595B"/>
    <w:rsid w:val="001D6E3F"/>
    <w:rsid w:val="001E0AD2"/>
    <w:rsid w:val="001E1EAB"/>
    <w:rsid w:val="001E29C3"/>
    <w:rsid w:val="001E40D7"/>
    <w:rsid w:val="001E4E2E"/>
    <w:rsid w:val="001E5378"/>
    <w:rsid w:val="001E73AF"/>
    <w:rsid w:val="001F1163"/>
    <w:rsid w:val="001F6BBD"/>
    <w:rsid w:val="002000F6"/>
    <w:rsid w:val="002023F1"/>
    <w:rsid w:val="0020313B"/>
    <w:rsid w:val="00204EF7"/>
    <w:rsid w:val="00210A6E"/>
    <w:rsid w:val="00211C34"/>
    <w:rsid w:val="0021299F"/>
    <w:rsid w:val="002153E6"/>
    <w:rsid w:val="00216D64"/>
    <w:rsid w:val="002213BC"/>
    <w:rsid w:val="0022474A"/>
    <w:rsid w:val="002264D8"/>
    <w:rsid w:val="002268AC"/>
    <w:rsid w:val="00232E67"/>
    <w:rsid w:val="00242938"/>
    <w:rsid w:val="00243095"/>
    <w:rsid w:val="00244E6A"/>
    <w:rsid w:val="0024666B"/>
    <w:rsid w:val="00250E15"/>
    <w:rsid w:val="0025125F"/>
    <w:rsid w:val="00252FC6"/>
    <w:rsid w:val="00255F2A"/>
    <w:rsid w:val="00256796"/>
    <w:rsid w:val="002567AA"/>
    <w:rsid w:val="00257258"/>
    <w:rsid w:val="00271B31"/>
    <w:rsid w:val="00272BF4"/>
    <w:rsid w:val="00272D5B"/>
    <w:rsid w:val="00277647"/>
    <w:rsid w:val="002829F1"/>
    <w:rsid w:val="00282CBA"/>
    <w:rsid w:val="00284E4E"/>
    <w:rsid w:val="00291B1B"/>
    <w:rsid w:val="00291F34"/>
    <w:rsid w:val="00294651"/>
    <w:rsid w:val="00297608"/>
    <w:rsid w:val="002978EC"/>
    <w:rsid w:val="002A1363"/>
    <w:rsid w:val="002A339F"/>
    <w:rsid w:val="002B15C5"/>
    <w:rsid w:val="002B2752"/>
    <w:rsid w:val="002B4595"/>
    <w:rsid w:val="002B6921"/>
    <w:rsid w:val="002B733C"/>
    <w:rsid w:val="002C0266"/>
    <w:rsid w:val="002C0A4A"/>
    <w:rsid w:val="002C0BC1"/>
    <w:rsid w:val="002C18AC"/>
    <w:rsid w:val="002C2952"/>
    <w:rsid w:val="002C4388"/>
    <w:rsid w:val="002C4850"/>
    <w:rsid w:val="002C4983"/>
    <w:rsid w:val="002C5658"/>
    <w:rsid w:val="002D2BB5"/>
    <w:rsid w:val="002D3B54"/>
    <w:rsid w:val="002F1302"/>
    <w:rsid w:val="002F43E0"/>
    <w:rsid w:val="002F5982"/>
    <w:rsid w:val="002F72F6"/>
    <w:rsid w:val="002F7650"/>
    <w:rsid w:val="0030098D"/>
    <w:rsid w:val="00304ADC"/>
    <w:rsid w:val="00306351"/>
    <w:rsid w:val="00307337"/>
    <w:rsid w:val="00311899"/>
    <w:rsid w:val="00314B07"/>
    <w:rsid w:val="0031619E"/>
    <w:rsid w:val="00316C1E"/>
    <w:rsid w:val="0031734A"/>
    <w:rsid w:val="003216E7"/>
    <w:rsid w:val="00324422"/>
    <w:rsid w:val="003249D7"/>
    <w:rsid w:val="00330070"/>
    <w:rsid w:val="00331240"/>
    <w:rsid w:val="0033376A"/>
    <w:rsid w:val="003338A1"/>
    <w:rsid w:val="0033526A"/>
    <w:rsid w:val="003375D5"/>
    <w:rsid w:val="00337876"/>
    <w:rsid w:val="00350354"/>
    <w:rsid w:val="00351777"/>
    <w:rsid w:val="00351E8A"/>
    <w:rsid w:val="00354AA7"/>
    <w:rsid w:val="00355947"/>
    <w:rsid w:val="003560C1"/>
    <w:rsid w:val="00361DA7"/>
    <w:rsid w:val="0036363D"/>
    <w:rsid w:val="00371C61"/>
    <w:rsid w:val="00372CC3"/>
    <w:rsid w:val="00374BB2"/>
    <w:rsid w:val="0037576B"/>
    <w:rsid w:val="003766CF"/>
    <w:rsid w:val="003801C8"/>
    <w:rsid w:val="00382DC3"/>
    <w:rsid w:val="00392412"/>
    <w:rsid w:val="00393037"/>
    <w:rsid w:val="0039457E"/>
    <w:rsid w:val="00395991"/>
    <w:rsid w:val="003960CC"/>
    <w:rsid w:val="003A2132"/>
    <w:rsid w:val="003A5F58"/>
    <w:rsid w:val="003A63D8"/>
    <w:rsid w:val="003A791C"/>
    <w:rsid w:val="003B06D9"/>
    <w:rsid w:val="003B0E09"/>
    <w:rsid w:val="003B121C"/>
    <w:rsid w:val="003B17D5"/>
    <w:rsid w:val="003B481C"/>
    <w:rsid w:val="003B5C7B"/>
    <w:rsid w:val="003C1CF6"/>
    <w:rsid w:val="003C595E"/>
    <w:rsid w:val="003D10B8"/>
    <w:rsid w:val="003D136A"/>
    <w:rsid w:val="003D1B7F"/>
    <w:rsid w:val="003D3BB2"/>
    <w:rsid w:val="003D7A7A"/>
    <w:rsid w:val="003D7BE1"/>
    <w:rsid w:val="003D7FC3"/>
    <w:rsid w:val="003E2482"/>
    <w:rsid w:val="003E322E"/>
    <w:rsid w:val="003E5C40"/>
    <w:rsid w:val="003E78B8"/>
    <w:rsid w:val="003E7BCB"/>
    <w:rsid w:val="003E7CE3"/>
    <w:rsid w:val="003F1843"/>
    <w:rsid w:val="003F20DE"/>
    <w:rsid w:val="003F3D88"/>
    <w:rsid w:val="0040119B"/>
    <w:rsid w:val="00407828"/>
    <w:rsid w:val="00411542"/>
    <w:rsid w:val="004129BF"/>
    <w:rsid w:val="00412D78"/>
    <w:rsid w:val="00412DE8"/>
    <w:rsid w:val="004145E3"/>
    <w:rsid w:val="00416C09"/>
    <w:rsid w:val="00417679"/>
    <w:rsid w:val="00417BDE"/>
    <w:rsid w:val="00417DA2"/>
    <w:rsid w:val="00423800"/>
    <w:rsid w:val="00423E96"/>
    <w:rsid w:val="00426C7E"/>
    <w:rsid w:val="0043073A"/>
    <w:rsid w:val="0043374D"/>
    <w:rsid w:val="00437C0D"/>
    <w:rsid w:val="0044029E"/>
    <w:rsid w:val="00442AA8"/>
    <w:rsid w:val="004447A8"/>
    <w:rsid w:val="00445B53"/>
    <w:rsid w:val="004477EE"/>
    <w:rsid w:val="004549A6"/>
    <w:rsid w:val="00455C9F"/>
    <w:rsid w:val="004635C1"/>
    <w:rsid w:val="00464478"/>
    <w:rsid w:val="004726B0"/>
    <w:rsid w:val="004726FF"/>
    <w:rsid w:val="00474C0B"/>
    <w:rsid w:val="00477327"/>
    <w:rsid w:val="00482FA4"/>
    <w:rsid w:val="00487810"/>
    <w:rsid w:val="00487BB4"/>
    <w:rsid w:val="004908B0"/>
    <w:rsid w:val="00492C34"/>
    <w:rsid w:val="00494976"/>
    <w:rsid w:val="004964E5"/>
    <w:rsid w:val="004A01BE"/>
    <w:rsid w:val="004A3088"/>
    <w:rsid w:val="004A6C3D"/>
    <w:rsid w:val="004B1287"/>
    <w:rsid w:val="004B1492"/>
    <w:rsid w:val="004B37AF"/>
    <w:rsid w:val="004B4600"/>
    <w:rsid w:val="004B635B"/>
    <w:rsid w:val="004C3203"/>
    <w:rsid w:val="004D6C2B"/>
    <w:rsid w:val="004D7AD7"/>
    <w:rsid w:val="004E0BA1"/>
    <w:rsid w:val="004E0E98"/>
    <w:rsid w:val="004E13F3"/>
    <w:rsid w:val="004E2900"/>
    <w:rsid w:val="004E400D"/>
    <w:rsid w:val="004F08FB"/>
    <w:rsid w:val="004F2216"/>
    <w:rsid w:val="004F3902"/>
    <w:rsid w:val="004F7F5A"/>
    <w:rsid w:val="005027C9"/>
    <w:rsid w:val="0050481C"/>
    <w:rsid w:val="00505C52"/>
    <w:rsid w:val="005165FB"/>
    <w:rsid w:val="0052441D"/>
    <w:rsid w:val="005338DB"/>
    <w:rsid w:val="00533A65"/>
    <w:rsid w:val="00534875"/>
    <w:rsid w:val="005351CC"/>
    <w:rsid w:val="005363FB"/>
    <w:rsid w:val="00537291"/>
    <w:rsid w:val="00543F07"/>
    <w:rsid w:val="005479DE"/>
    <w:rsid w:val="00547F6B"/>
    <w:rsid w:val="00554361"/>
    <w:rsid w:val="00554D21"/>
    <w:rsid w:val="00554EA4"/>
    <w:rsid w:val="00561E06"/>
    <w:rsid w:val="005628B5"/>
    <w:rsid w:val="00567151"/>
    <w:rsid w:val="00567677"/>
    <w:rsid w:val="0057154D"/>
    <w:rsid w:val="00572DBB"/>
    <w:rsid w:val="005730EC"/>
    <w:rsid w:val="00575D71"/>
    <w:rsid w:val="005775CC"/>
    <w:rsid w:val="005807F1"/>
    <w:rsid w:val="00581F20"/>
    <w:rsid w:val="0058347A"/>
    <w:rsid w:val="00583FB3"/>
    <w:rsid w:val="005843CD"/>
    <w:rsid w:val="0058651A"/>
    <w:rsid w:val="00590B6B"/>
    <w:rsid w:val="005A00DF"/>
    <w:rsid w:val="005A02D2"/>
    <w:rsid w:val="005A22DF"/>
    <w:rsid w:val="005A4A78"/>
    <w:rsid w:val="005B0214"/>
    <w:rsid w:val="005B3F18"/>
    <w:rsid w:val="005B4010"/>
    <w:rsid w:val="005B5D6C"/>
    <w:rsid w:val="005C075F"/>
    <w:rsid w:val="005C164F"/>
    <w:rsid w:val="005C1748"/>
    <w:rsid w:val="005C3852"/>
    <w:rsid w:val="005C3DA9"/>
    <w:rsid w:val="005C3F2F"/>
    <w:rsid w:val="005C6576"/>
    <w:rsid w:val="005D0FF0"/>
    <w:rsid w:val="005D15A7"/>
    <w:rsid w:val="005D4F0C"/>
    <w:rsid w:val="005E18F4"/>
    <w:rsid w:val="005E206A"/>
    <w:rsid w:val="005E449F"/>
    <w:rsid w:val="005E71A0"/>
    <w:rsid w:val="005F2960"/>
    <w:rsid w:val="005F30E7"/>
    <w:rsid w:val="005F3E5F"/>
    <w:rsid w:val="005F69C5"/>
    <w:rsid w:val="005F6DFE"/>
    <w:rsid w:val="006005F6"/>
    <w:rsid w:val="0060137C"/>
    <w:rsid w:val="00601534"/>
    <w:rsid w:val="00604ABB"/>
    <w:rsid w:val="006054BC"/>
    <w:rsid w:val="00607F0B"/>
    <w:rsid w:val="00615868"/>
    <w:rsid w:val="0062100E"/>
    <w:rsid w:val="00621D32"/>
    <w:rsid w:val="00622E6D"/>
    <w:rsid w:val="00625DE9"/>
    <w:rsid w:val="006273E2"/>
    <w:rsid w:val="00632AD3"/>
    <w:rsid w:val="00634488"/>
    <w:rsid w:val="006357F9"/>
    <w:rsid w:val="00635AFA"/>
    <w:rsid w:val="00636D1E"/>
    <w:rsid w:val="00647BAD"/>
    <w:rsid w:val="006528F3"/>
    <w:rsid w:val="00653E90"/>
    <w:rsid w:val="00654671"/>
    <w:rsid w:val="0065738E"/>
    <w:rsid w:val="00661B37"/>
    <w:rsid w:val="00664587"/>
    <w:rsid w:val="00670695"/>
    <w:rsid w:val="00675194"/>
    <w:rsid w:val="006809A0"/>
    <w:rsid w:val="00686E4B"/>
    <w:rsid w:val="0069310C"/>
    <w:rsid w:val="00693BF6"/>
    <w:rsid w:val="00694FAD"/>
    <w:rsid w:val="0069610D"/>
    <w:rsid w:val="006A37CF"/>
    <w:rsid w:val="006A5190"/>
    <w:rsid w:val="006A607E"/>
    <w:rsid w:val="006B0117"/>
    <w:rsid w:val="006B1ABB"/>
    <w:rsid w:val="006B32C8"/>
    <w:rsid w:val="006B3692"/>
    <w:rsid w:val="006C0663"/>
    <w:rsid w:val="006C0ED1"/>
    <w:rsid w:val="006C4DE6"/>
    <w:rsid w:val="006C5A4A"/>
    <w:rsid w:val="006D022B"/>
    <w:rsid w:val="006D37D0"/>
    <w:rsid w:val="006D47F6"/>
    <w:rsid w:val="006D77B9"/>
    <w:rsid w:val="006E0977"/>
    <w:rsid w:val="006E108C"/>
    <w:rsid w:val="006E1278"/>
    <w:rsid w:val="006E321D"/>
    <w:rsid w:val="006E3586"/>
    <w:rsid w:val="006E4D51"/>
    <w:rsid w:val="006E5420"/>
    <w:rsid w:val="006E6EEB"/>
    <w:rsid w:val="006F10FB"/>
    <w:rsid w:val="006F2AAB"/>
    <w:rsid w:val="006F61FD"/>
    <w:rsid w:val="006F6244"/>
    <w:rsid w:val="00701AF2"/>
    <w:rsid w:val="00703CC9"/>
    <w:rsid w:val="0070453E"/>
    <w:rsid w:val="00705879"/>
    <w:rsid w:val="007058D9"/>
    <w:rsid w:val="007058DA"/>
    <w:rsid w:val="00710C91"/>
    <w:rsid w:val="007113D4"/>
    <w:rsid w:val="0071176A"/>
    <w:rsid w:val="00713659"/>
    <w:rsid w:val="007145EE"/>
    <w:rsid w:val="00720634"/>
    <w:rsid w:val="00721D95"/>
    <w:rsid w:val="00733EA7"/>
    <w:rsid w:val="007344CF"/>
    <w:rsid w:val="00737909"/>
    <w:rsid w:val="0074499A"/>
    <w:rsid w:val="007509DE"/>
    <w:rsid w:val="007530CB"/>
    <w:rsid w:val="00753DCC"/>
    <w:rsid w:val="00754B3E"/>
    <w:rsid w:val="007561E0"/>
    <w:rsid w:val="00757361"/>
    <w:rsid w:val="007615A9"/>
    <w:rsid w:val="0076606C"/>
    <w:rsid w:val="00770FAD"/>
    <w:rsid w:val="007729BA"/>
    <w:rsid w:val="00773FDB"/>
    <w:rsid w:val="0077556E"/>
    <w:rsid w:val="00775593"/>
    <w:rsid w:val="007809A4"/>
    <w:rsid w:val="0078663F"/>
    <w:rsid w:val="00786B0B"/>
    <w:rsid w:val="00787AE3"/>
    <w:rsid w:val="00792186"/>
    <w:rsid w:val="0079508A"/>
    <w:rsid w:val="0079526E"/>
    <w:rsid w:val="00795965"/>
    <w:rsid w:val="0079674F"/>
    <w:rsid w:val="007A2365"/>
    <w:rsid w:val="007A4D15"/>
    <w:rsid w:val="007B2A07"/>
    <w:rsid w:val="007B4E06"/>
    <w:rsid w:val="007C0858"/>
    <w:rsid w:val="007C34DE"/>
    <w:rsid w:val="007C57FE"/>
    <w:rsid w:val="007C60D5"/>
    <w:rsid w:val="007C73DB"/>
    <w:rsid w:val="007C74C0"/>
    <w:rsid w:val="007C7741"/>
    <w:rsid w:val="007D0420"/>
    <w:rsid w:val="007D1990"/>
    <w:rsid w:val="007D2E7B"/>
    <w:rsid w:val="007E21ED"/>
    <w:rsid w:val="007E5786"/>
    <w:rsid w:val="007E5D5C"/>
    <w:rsid w:val="007E70FD"/>
    <w:rsid w:val="007F0F19"/>
    <w:rsid w:val="007F15A6"/>
    <w:rsid w:val="007F3E0B"/>
    <w:rsid w:val="007F4618"/>
    <w:rsid w:val="007F5590"/>
    <w:rsid w:val="007F5F54"/>
    <w:rsid w:val="007F7D53"/>
    <w:rsid w:val="00800C81"/>
    <w:rsid w:val="00801530"/>
    <w:rsid w:val="00802D2B"/>
    <w:rsid w:val="00807239"/>
    <w:rsid w:val="00807833"/>
    <w:rsid w:val="00807993"/>
    <w:rsid w:val="00807BF2"/>
    <w:rsid w:val="00811ED2"/>
    <w:rsid w:val="00812CFA"/>
    <w:rsid w:val="00817C02"/>
    <w:rsid w:val="00825535"/>
    <w:rsid w:val="00825859"/>
    <w:rsid w:val="008305F2"/>
    <w:rsid w:val="00831FBE"/>
    <w:rsid w:val="00832F86"/>
    <w:rsid w:val="00833005"/>
    <w:rsid w:val="008343D5"/>
    <w:rsid w:val="00834BB4"/>
    <w:rsid w:val="008367AB"/>
    <w:rsid w:val="00844D15"/>
    <w:rsid w:val="00844DF1"/>
    <w:rsid w:val="00844E27"/>
    <w:rsid w:val="00850C5E"/>
    <w:rsid w:val="008514D1"/>
    <w:rsid w:val="00852F6C"/>
    <w:rsid w:val="008535E8"/>
    <w:rsid w:val="0085453B"/>
    <w:rsid w:val="00854E0B"/>
    <w:rsid w:val="008576B4"/>
    <w:rsid w:val="0086229B"/>
    <w:rsid w:val="00862A9C"/>
    <w:rsid w:val="008631E0"/>
    <w:rsid w:val="00864A2B"/>
    <w:rsid w:val="00865218"/>
    <w:rsid w:val="0087082E"/>
    <w:rsid w:val="00871BB4"/>
    <w:rsid w:val="00873E80"/>
    <w:rsid w:val="0087535D"/>
    <w:rsid w:val="008764FC"/>
    <w:rsid w:val="00877ED5"/>
    <w:rsid w:val="0088177B"/>
    <w:rsid w:val="00882FF6"/>
    <w:rsid w:val="008907BE"/>
    <w:rsid w:val="00891EF8"/>
    <w:rsid w:val="0089211D"/>
    <w:rsid w:val="00892362"/>
    <w:rsid w:val="00892EE4"/>
    <w:rsid w:val="00893E38"/>
    <w:rsid w:val="00897399"/>
    <w:rsid w:val="00897645"/>
    <w:rsid w:val="008A0A14"/>
    <w:rsid w:val="008A2208"/>
    <w:rsid w:val="008B149C"/>
    <w:rsid w:val="008B1A99"/>
    <w:rsid w:val="008B3DF5"/>
    <w:rsid w:val="008B72B3"/>
    <w:rsid w:val="008C1F3C"/>
    <w:rsid w:val="008C2124"/>
    <w:rsid w:val="008C22EE"/>
    <w:rsid w:val="008D0AB4"/>
    <w:rsid w:val="008D3FB3"/>
    <w:rsid w:val="008D7605"/>
    <w:rsid w:val="008E2365"/>
    <w:rsid w:val="008E2D3D"/>
    <w:rsid w:val="008E3251"/>
    <w:rsid w:val="008E3B91"/>
    <w:rsid w:val="008E3CB6"/>
    <w:rsid w:val="008E4E57"/>
    <w:rsid w:val="008E60D6"/>
    <w:rsid w:val="008E6349"/>
    <w:rsid w:val="008F403C"/>
    <w:rsid w:val="008F4840"/>
    <w:rsid w:val="008F5B7E"/>
    <w:rsid w:val="008F6946"/>
    <w:rsid w:val="00906CDC"/>
    <w:rsid w:val="00910B0F"/>
    <w:rsid w:val="00913806"/>
    <w:rsid w:val="0091474F"/>
    <w:rsid w:val="00915A77"/>
    <w:rsid w:val="0092162E"/>
    <w:rsid w:val="00922F17"/>
    <w:rsid w:val="0092318E"/>
    <w:rsid w:val="009238B8"/>
    <w:rsid w:val="00923E9C"/>
    <w:rsid w:val="0092722C"/>
    <w:rsid w:val="009318E9"/>
    <w:rsid w:val="00937821"/>
    <w:rsid w:val="00940ADC"/>
    <w:rsid w:val="0094300B"/>
    <w:rsid w:val="00943150"/>
    <w:rsid w:val="00947EFA"/>
    <w:rsid w:val="009513EE"/>
    <w:rsid w:val="00951540"/>
    <w:rsid w:val="00961756"/>
    <w:rsid w:val="00961D68"/>
    <w:rsid w:val="0096401A"/>
    <w:rsid w:val="00966BDD"/>
    <w:rsid w:val="00971005"/>
    <w:rsid w:val="00974167"/>
    <w:rsid w:val="00975A24"/>
    <w:rsid w:val="009779DA"/>
    <w:rsid w:val="00980753"/>
    <w:rsid w:val="00980F08"/>
    <w:rsid w:val="00981B80"/>
    <w:rsid w:val="009835D9"/>
    <w:rsid w:val="00985569"/>
    <w:rsid w:val="0098750E"/>
    <w:rsid w:val="00991023"/>
    <w:rsid w:val="009969F7"/>
    <w:rsid w:val="00996B6B"/>
    <w:rsid w:val="009A4298"/>
    <w:rsid w:val="009A58BC"/>
    <w:rsid w:val="009A5DFB"/>
    <w:rsid w:val="009A6EBC"/>
    <w:rsid w:val="009A7F37"/>
    <w:rsid w:val="009B3DA7"/>
    <w:rsid w:val="009B44FC"/>
    <w:rsid w:val="009B5386"/>
    <w:rsid w:val="009C1087"/>
    <w:rsid w:val="009C1E26"/>
    <w:rsid w:val="009C40B8"/>
    <w:rsid w:val="009D4828"/>
    <w:rsid w:val="009D554A"/>
    <w:rsid w:val="009D5DA4"/>
    <w:rsid w:val="009E04C6"/>
    <w:rsid w:val="009E07DF"/>
    <w:rsid w:val="009E0B49"/>
    <w:rsid w:val="009E2B78"/>
    <w:rsid w:val="009E2F90"/>
    <w:rsid w:val="009E33BC"/>
    <w:rsid w:val="009E383C"/>
    <w:rsid w:val="009E3D49"/>
    <w:rsid w:val="009E5A41"/>
    <w:rsid w:val="009E6E70"/>
    <w:rsid w:val="009F0D63"/>
    <w:rsid w:val="009F7637"/>
    <w:rsid w:val="009F7824"/>
    <w:rsid w:val="009F7B94"/>
    <w:rsid w:val="00A01772"/>
    <w:rsid w:val="00A02718"/>
    <w:rsid w:val="00A039FD"/>
    <w:rsid w:val="00A04B2A"/>
    <w:rsid w:val="00A053E9"/>
    <w:rsid w:val="00A05664"/>
    <w:rsid w:val="00A065DF"/>
    <w:rsid w:val="00A06F04"/>
    <w:rsid w:val="00A07000"/>
    <w:rsid w:val="00A077D2"/>
    <w:rsid w:val="00A10672"/>
    <w:rsid w:val="00A119F6"/>
    <w:rsid w:val="00A13EB6"/>
    <w:rsid w:val="00A16708"/>
    <w:rsid w:val="00A17ABD"/>
    <w:rsid w:val="00A203B3"/>
    <w:rsid w:val="00A2082D"/>
    <w:rsid w:val="00A23549"/>
    <w:rsid w:val="00A278C9"/>
    <w:rsid w:val="00A364F7"/>
    <w:rsid w:val="00A37800"/>
    <w:rsid w:val="00A37C28"/>
    <w:rsid w:val="00A4168E"/>
    <w:rsid w:val="00A45400"/>
    <w:rsid w:val="00A458F4"/>
    <w:rsid w:val="00A45DFC"/>
    <w:rsid w:val="00A47D46"/>
    <w:rsid w:val="00A50193"/>
    <w:rsid w:val="00A530DA"/>
    <w:rsid w:val="00A56085"/>
    <w:rsid w:val="00A61ECA"/>
    <w:rsid w:val="00A62AD7"/>
    <w:rsid w:val="00A63D0D"/>
    <w:rsid w:val="00A657C5"/>
    <w:rsid w:val="00A66238"/>
    <w:rsid w:val="00A7317F"/>
    <w:rsid w:val="00A74D30"/>
    <w:rsid w:val="00A7642C"/>
    <w:rsid w:val="00A90CCE"/>
    <w:rsid w:val="00A95C6C"/>
    <w:rsid w:val="00AA0694"/>
    <w:rsid w:val="00AA17E8"/>
    <w:rsid w:val="00AA4C69"/>
    <w:rsid w:val="00AA65A4"/>
    <w:rsid w:val="00AA7CA2"/>
    <w:rsid w:val="00AB4E31"/>
    <w:rsid w:val="00AB7C11"/>
    <w:rsid w:val="00AC10E3"/>
    <w:rsid w:val="00AC1872"/>
    <w:rsid w:val="00AC353D"/>
    <w:rsid w:val="00AC4B85"/>
    <w:rsid w:val="00AC55BB"/>
    <w:rsid w:val="00AC61F8"/>
    <w:rsid w:val="00AC67A7"/>
    <w:rsid w:val="00AD04DB"/>
    <w:rsid w:val="00AD3524"/>
    <w:rsid w:val="00AD3B5F"/>
    <w:rsid w:val="00AD5423"/>
    <w:rsid w:val="00AD5D27"/>
    <w:rsid w:val="00AD73F4"/>
    <w:rsid w:val="00AE0607"/>
    <w:rsid w:val="00AF0DE7"/>
    <w:rsid w:val="00AF1D21"/>
    <w:rsid w:val="00AF2104"/>
    <w:rsid w:val="00AF367A"/>
    <w:rsid w:val="00AF3694"/>
    <w:rsid w:val="00AF375F"/>
    <w:rsid w:val="00AF40C8"/>
    <w:rsid w:val="00AF5719"/>
    <w:rsid w:val="00AF5C53"/>
    <w:rsid w:val="00AF5F96"/>
    <w:rsid w:val="00AF67BF"/>
    <w:rsid w:val="00B024BC"/>
    <w:rsid w:val="00B05523"/>
    <w:rsid w:val="00B059AC"/>
    <w:rsid w:val="00B071D8"/>
    <w:rsid w:val="00B1249F"/>
    <w:rsid w:val="00B130D0"/>
    <w:rsid w:val="00B15E0F"/>
    <w:rsid w:val="00B2026C"/>
    <w:rsid w:val="00B23125"/>
    <w:rsid w:val="00B24428"/>
    <w:rsid w:val="00B248EF"/>
    <w:rsid w:val="00B270C3"/>
    <w:rsid w:val="00B27789"/>
    <w:rsid w:val="00B31AC7"/>
    <w:rsid w:val="00B327B0"/>
    <w:rsid w:val="00B41850"/>
    <w:rsid w:val="00B41A3D"/>
    <w:rsid w:val="00B50774"/>
    <w:rsid w:val="00B513D4"/>
    <w:rsid w:val="00B5170F"/>
    <w:rsid w:val="00B60869"/>
    <w:rsid w:val="00B618F8"/>
    <w:rsid w:val="00B619EB"/>
    <w:rsid w:val="00B65DAB"/>
    <w:rsid w:val="00B65F94"/>
    <w:rsid w:val="00B65FE8"/>
    <w:rsid w:val="00B72D06"/>
    <w:rsid w:val="00B775FA"/>
    <w:rsid w:val="00B822FA"/>
    <w:rsid w:val="00B866FD"/>
    <w:rsid w:val="00B9403C"/>
    <w:rsid w:val="00B94FB5"/>
    <w:rsid w:val="00B9543C"/>
    <w:rsid w:val="00B95D7D"/>
    <w:rsid w:val="00B96AFB"/>
    <w:rsid w:val="00B96FB5"/>
    <w:rsid w:val="00B97735"/>
    <w:rsid w:val="00BA36E9"/>
    <w:rsid w:val="00BA49C9"/>
    <w:rsid w:val="00BA61AF"/>
    <w:rsid w:val="00BA6CB7"/>
    <w:rsid w:val="00BA7D47"/>
    <w:rsid w:val="00BB4057"/>
    <w:rsid w:val="00BB52D1"/>
    <w:rsid w:val="00BB6FF5"/>
    <w:rsid w:val="00BB7B98"/>
    <w:rsid w:val="00BC6CEF"/>
    <w:rsid w:val="00BC7EA3"/>
    <w:rsid w:val="00BD2303"/>
    <w:rsid w:val="00BD258F"/>
    <w:rsid w:val="00BD33D3"/>
    <w:rsid w:val="00BD78DB"/>
    <w:rsid w:val="00BE0560"/>
    <w:rsid w:val="00BE31F3"/>
    <w:rsid w:val="00BE349D"/>
    <w:rsid w:val="00BE7486"/>
    <w:rsid w:val="00BE7FF0"/>
    <w:rsid w:val="00BF127C"/>
    <w:rsid w:val="00BF344C"/>
    <w:rsid w:val="00BF610B"/>
    <w:rsid w:val="00BF70D2"/>
    <w:rsid w:val="00C01FA4"/>
    <w:rsid w:val="00C02E41"/>
    <w:rsid w:val="00C04D03"/>
    <w:rsid w:val="00C053B0"/>
    <w:rsid w:val="00C07417"/>
    <w:rsid w:val="00C15577"/>
    <w:rsid w:val="00C2033C"/>
    <w:rsid w:val="00C21FEF"/>
    <w:rsid w:val="00C22FA5"/>
    <w:rsid w:val="00C3221C"/>
    <w:rsid w:val="00C32E35"/>
    <w:rsid w:val="00C36388"/>
    <w:rsid w:val="00C40D7F"/>
    <w:rsid w:val="00C41221"/>
    <w:rsid w:val="00C43772"/>
    <w:rsid w:val="00C43DE6"/>
    <w:rsid w:val="00C4506D"/>
    <w:rsid w:val="00C52416"/>
    <w:rsid w:val="00C529D7"/>
    <w:rsid w:val="00C54029"/>
    <w:rsid w:val="00C55404"/>
    <w:rsid w:val="00C5650E"/>
    <w:rsid w:val="00C57873"/>
    <w:rsid w:val="00C646FD"/>
    <w:rsid w:val="00C7021B"/>
    <w:rsid w:val="00C706DC"/>
    <w:rsid w:val="00C71BA7"/>
    <w:rsid w:val="00C71E39"/>
    <w:rsid w:val="00C7226A"/>
    <w:rsid w:val="00C77184"/>
    <w:rsid w:val="00C807BD"/>
    <w:rsid w:val="00C8156D"/>
    <w:rsid w:val="00C85B3B"/>
    <w:rsid w:val="00C95C87"/>
    <w:rsid w:val="00C95EA9"/>
    <w:rsid w:val="00C96FAC"/>
    <w:rsid w:val="00CA6C36"/>
    <w:rsid w:val="00CB4032"/>
    <w:rsid w:val="00CB6C4E"/>
    <w:rsid w:val="00CB7797"/>
    <w:rsid w:val="00CD43CD"/>
    <w:rsid w:val="00CD5071"/>
    <w:rsid w:val="00CD6224"/>
    <w:rsid w:val="00CD772C"/>
    <w:rsid w:val="00CE14E3"/>
    <w:rsid w:val="00CE5B4D"/>
    <w:rsid w:val="00CE5BA1"/>
    <w:rsid w:val="00CE5FDD"/>
    <w:rsid w:val="00CE7E9A"/>
    <w:rsid w:val="00CF3E05"/>
    <w:rsid w:val="00CF4072"/>
    <w:rsid w:val="00D0045B"/>
    <w:rsid w:val="00D059BB"/>
    <w:rsid w:val="00D0665D"/>
    <w:rsid w:val="00D06EBB"/>
    <w:rsid w:val="00D0757D"/>
    <w:rsid w:val="00D07893"/>
    <w:rsid w:val="00D120B9"/>
    <w:rsid w:val="00D120E5"/>
    <w:rsid w:val="00D156A7"/>
    <w:rsid w:val="00D23CC4"/>
    <w:rsid w:val="00D244BB"/>
    <w:rsid w:val="00D26B85"/>
    <w:rsid w:val="00D305CB"/>
    <w:rsid w:val="00D31BDA"/>
    <w:rsid w:val="00D32B81"/>
    <w:rsid w:val="00D32E61"/>
    <w:rsid w:val="00D36182"/>
    <w:rsid w:val="00D37A75"/>
    <w:rsid w:val="00D400D5"/>
    <w:rsid w:val="00D42528"/>
    <w:rsid w:val="00D42584"/>
    <w:rsid w:val="00D44430"/>
    <w:rsid w:val="00D446D1"/>
    <w:rsid w:val="00D45410"/>
    <w:rsid w:val="00D463B3"/>
    <w:rsid w:val="00D51093"/>
    <w:rsid w:val="00D53445"/>
    <w:rsid w:val="00D53C57"/>
    <w:rsid w:val="00D548AE"/>
    <w:rsid w:val="00D5561B"/>
    <w:rsid w:val="00D6087D"/>
    <w:rsid w:val="00D60D3B"/>
    <w:rsid w:val="00D6417C"/>
    <w:rsid w:val="00D647A7"/>
    <w:rsid w:val="00D66369"/>
    <w:rsid w:val="00D66D0A"/>
    <w:rsid w:val="00D670CC"/>
    <w:rsid w:val="00D714EC"/>
    <w:rsid w:val="00D768A9"/>
    <w:rsid w:val="00D76FE2"/>
    <w:rsid w:val="00D80C57"/>
    <w:rsid w:val="00D81659"/>
    <w:rsid w:val="00D81763"/>
    <w:rsid w:val="00D82C29"/>
    <w:rsid w:val="00D83275"/>
    <w:rsid w:val="00D84993"/>
    <w:rsid w:val="00D86623"/>
    <w:rsid w:val="00D903CD"/>
    <w:rsid w:val="00D92298"/>
    <w:rsid w:val="00DA0513"/>
    <w:rsid w:val="00DA4B48"/>
    <w:rsid w:val="00DA4C30"/>
    <w:rsid w:val="00DA642E"/>
    <w:rsid w:val="00DA68FA"/>
    <w:rsid w:val="00DB2D75"/>
    <w:rsid w:val="00DB382D"/>
    <w:rsid w:val="00DB3EEA"/>
    <w:rsid w:val="00DB73F3"/>
    <w:rsid w:val="00DB7E62"/>
    <w:rsid w:val="00DC0C39"/>
    <w:rsid w:val="00DC2665"/>
    <w:rsid w:val="00DD0C57"/>
    <w:rsid w:val="00DD0C66"/>
    <w:rsid w:val="00DD2809"/>
    <w:rsid w:val="00DD41E0"/>
    <w:rsid w:val="00DD7F5C"/>
    <w:rsid w:val="00DE0F55"/>
    <w:rsid w:val="00DE144B"/>
    <w:rsid w:val="00DE6CCF"/>
    <w:rsid w:val="00DE754B"/>
    <w:rsid w:val="00DF25AC"/>
    <w:rsid w:val="00DF37C5"/>
    <w:rsid w:val="00DF5D7C"/>
    <w:rsid w:val="00DF7527"/>
    <w:rsid w:val="00E04B78"/>
    <w:rsid w:val="00E06011"/>
    <w:rsid w:val="00E13F1C"/>
    <w:rsid w:val="00E1691D"/>
    <w:rsid w:val="00E212C4"/>
    <w:rsid w:val="00E2266E"/>
    <w:rsid w:val="00E2517F"/>
    <w:rsid w:val="00E31D03"/>
    <w:rsid w:val="00E328DC"/>
    <w:rsid w:val="00E32E05"/>
    <w:rsid w:val="00E33404"/>
    <w:rsid w:val="00E37976"/>
    <w:rsid w:val="00E570F9"/>
    <w:rsid w:val="00E627E4"/>
    <w:rsid w:val="00E62A73"/>
    <w:rsid w:val="00E63B65"/>
    <w:rsid w:val="00E66CBA"/>
    <w:rsid w:val="00E729C3"/>
    <w:rsid w:val="00E73361"/>
    <w:rsid w:val="00E74F34"/>
    <w:rsid w:val="00E74F87"/>
    <w:rsid w:val="00E75CE4"/>
    <w:rsid w:val="00E763D5"/>
    <w:rsid w:val="00E81CD4"/>
    <w:rsid w:val="00E8388E"/>
    <w:rsid w:val="00E838B6"/>
    <w:rsid w:val="00E83DEF"/>
    <w:rsid w:val="00E85512"/>
    <w:rsid w:val="00E85887"/>
    <w:rsid w:val="00E85DFA"/>
    <w:rsid w:val="00E870C8"/>
    <w:rsid w:val="00E8766C"/>
    <w:rsid w:val="00E93947"/>
    <w:rsid w:val="00E94778"/>
    <w:rsid w:val="00E95342"/>
    <w:rsid w:val="00E9770D"/>
    <w:rsid w:val="00EA01B5"/>
    <w:rsid w:val="00EA20F1"/>
    <w:rsid w:val="00EA46BB"/>
    <w:rsid w:val="00EA5C82"/>
    <w:rsid w:val="00EA672F"/>
    <w:rsid w:val="00EA779C"/>
    <w:rsid w:val="00EB0544"/>
    <w:rsid w:val="00EB0B81"/>
    <w:rsid w:val="00EB171B"/>
    <w:rsid w:val="00EB35EE"/>
    <w:rsid w:val="00EB5E96"/>
    <w:rsid w:val="00EB60D5"/>
    <w:rsid w:val="00EB78E4"/>
    <w:rsid w:val="00EC6062"/>
    <w:rsid w:val="00ED32D4"/>
    <w:rsid w:val="00ED3AFF"/>
    <w:rsid w:val="00EE087F"/>
    <w:rsid w:val="00EE272E"/>
    <w:rsid w:val="00EE450C"/>
    <w:rsid w:val="00EE6340"/>
    <w:rsid w:val="00EF14EF"/>
    <w:rsid w:val="00EF17AA"/>
    <w:rsid w:val="00EF2139"/>
    <w:rsid w:val="00EF3844"/>
    <w:rsid w:val="00EF491F"/>
    <w:rsid w:val="00EF5DD7"/>
    <w:rsid w:val="00EF70F2"/>
    <w:rsid w:val="00F00EE7"/>
    <w:rsid w:val="00F01332"/>
    <w:rsid w:val="00F02940"/>
    <w:rsid w:val="00F049A2"/>
    <w:rsid w:val="00F103BB"/>
    <w:rsid w:val="00F10667"/>
    <w:rsid w:val="00F13685"/>
    <w:rsid w:val="00F1713D"/>
    <w:rsid w:val="00F22259"/>
    <w:rsid w:val="00F24900"/>
    <w:rsid w:val="00F24B60"/>
    <w:rsid w:val="00F256BA"/>
    <w:rsid w:val="00F25FE1"/>
    <w:rsid w:val="00F3203B"/>
    <w:rsid w:val="00F3493F"/>
    <w:rsid w:val="00F3566E"/>
    <w:rsid w:val="00F36B58"/>
    <w:rsid w:val="00F403DA"/>
    <w:rsid w:val="00F41522"/>
    <w:rsid w:val="00F442BD"/>
    <w:rsid w:val="00F44D74"/>
    <w:rsid w:val="00F455E7"/>
    <w:rsid w:val="00F47C57"/>
    <w:rsid w:val="00F47CF8"/>
    <w:rsid w:val="00F51B0B"/>
    <w:rsid w:val="00F53522"/>
    <w:rsid w:val="00F53D60"/>
    <w:rsid w:val="00F6012F"/>
    <w:rsid w:val="00F603DE"/>
    <w:rsid w:val="00F607D2"/>
    <w:rsid w:val="00F612EB"/>
    <w:rsid w:val="00F6176D"/>
    <w:rsid w:val="00F62379"/>
    <w:rsid w:val="00F6336E"/>
    <w:rsid w:val="00F6446E"/>
    <w:rsid w:val="00F65288"/>
    <w:rsid w:val="00F70C37"/>
    <w:rsid w:val="00F738A7"/>
    <w:rsid w:val="00F74099"/>
    <w:rsid w:val="00F77099"/>
    <w:rsid w:val="00F801D6"/>
    <w:rsid w:val="00F854BF"/>
    <w:rsid w:val="00F92651"/>
    <w:rsid w:val="00F93052"/>
    <w:rsid w:val="00F9311A"/>
    <w:rsid w:val="00F93F29"/>
    <w:rsid w:val="00F94C26"/>
    <w:rsid w:val="00F955CE"/>
    <w:rsid w:val="00F97D0B"/>
    <w:rsid w:val="00FA0562"/>
    <w:rsid w:val="00FA0C51"/>
    <w:rsid w:val="00FA176F"/>
    <w:rsid w:val="00FA4B4B"/>
    <w:rsid w:val="00FA7A85"/>
    <w:rsid w:val="00FB46A1"/>
    <w:rsid w:val="00FB4D22"/>
    <w:rsid w:val="00FC0D75"/>
    <w:rsid w:val="00FC1510"/>
    <w:rsid w:val="00FC2DF1"/>
    <w:rsid w:val="00FC2E1C"/>
    <w:rsid w:val="00FC3181"/>
    <w:rsid w:val="00FC563F"/>
    <w:rsid w:val="00FC7155"/>
    <w:rsid w:val="00FC7FFA"/>
    <w:rsid w:val="00FD0FC3"/>
    <w:rsid w:val="00FD14FC"/>
    <w:rsid w:val="00FD50D7"/>
    <w:rsid w:val="00FD54EA"/>
    <w:rsid w:val="00FD5802"/>
    <w:rsid w:val="00FE2F18"/>
    <w:rsid w:val="00FE356C"/>
    <w:rsid w:val="00FE5167"/>
    <w:rsid w:val="00FE7890"/>
    <w:rsid w:val="00FF0C3C"/>
    <w:rsid w:val="00FF3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3E9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86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8663F"/>
    <w:rPr>
      <w:rFonts w:ascii="Tahoma" w:hAnsi="Tahoma" w:cs="Tahoma"/>
      <w:sz w:val="16"/>
      <w:szCs w:val="16"/>
    </w:rPr>
  </w:style>
  <w:style w:type="paragraph" w:styleId="En-tte">
    <w:name w:val="header"/>
    <w:basedOn w:val="Normal"/>
    <w:rsid w:val="00FE356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FE356C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FE356C"/>
  </w:style>
  <w:style w:type="character" w:styleId="Lienhypertexte">
    <w:name w:val="Hyperlink"/>
    <w:rsid w:val="00111212"/>
    <w:rPr>
      <w:color w:val="0000FF"/>
      <w:u w:val="single"/>
    </w:rPr>
  </w:style>
  <w:style w:type="paragraph" w:styleId="Sansinterligne">
    <w:name w:val="No Spacing"/>
    <w:link w:val="SansinterligneCar"/>
    <w:uiPriority w:val="1"/>
    <w:qFormat/>
    <w:rsid w:val="0043374D"/>
    <w:rPr>
      <w:rFonts w:eastAsia="Times New Roman"/>
      <w:sz w:val="22"/>
      <w:szCs w:val="22"/>
    </w:rPr>
  </w:style>
  <w:style w:type="character" w:customStyle="1" w:styleId="SansinterligneCar">
    <w:name w:val="Sans interligne Car"/>
    <w:link w:val="Sansinterligne"/>
    <w:uiPriority w:val="1"/>
    <w:rsid w:val="0043374D"/>
    <w:rPr>
      <w:rFonts w:eastAsia="Times New Roman"/>
      <w:sz w:val="22"/>
      <w:szCs w:val="22"/>
    </w:rPr>
  </w:style>
  <w:style w:type="character" w:styleId="lev">
    <w:name w:val="Strong"/>
    <w:uiPriority w:val="22"/>
    <w:qFormat/>
    <w:rsid w:val="00304ADC"/>
    <w:rPr>
      <w:b/>
      <w:bCs/>
    </w:rPr>
  </w:style>
  <w:style w:type="table" w:styleId="Grilledutableau">
    <w:name w:val="Table Grid"/>
    <w:basedOn w:val="TableauNormal"/>
    <w:uiPriority w:val="59"/>
    <w:rsid w:val="000730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A236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A22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prix">
    <w:name w:val="prix"/>
    <w:basedOn w:val="Policepardfaut"/>
    <w:rsid w:val="002D3B54"/>
  </w:style>
  <w:style w:type="paragraph" w:customStyle="1" w:styleId="appentrylead">
    <w:name w:val="app_entry_lead"/>
    <w:basedOn w:val="Normal"/>
    <w:rsid w:val="000827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3E9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86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8663F"/>
    <w:rPr>
      <w:rFonts w:ascii="Tahoma" w:hAnsi="Tahoma" w:cs="Tahoma"/>
      <w:sz w:val="16"/>
      <w:szCs w:val="16"/>
    </w:rPr>
  </w:style>
  <w:style w:type="paragraph" w:styleId="En-tte">
    <w:name w:val="header"/>
    <w:basedOn w:val="Normal"/>
    <w:rsid w:val="00FE356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FE356C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FE356C"/>
  </w:style>
  <w:style w:type="character" w:styleId="Lienhypertexte">
    <w:name w:val="Hyperlink"/>
    <w:rsid w:val="00111212"/>
    <w:rPr>
      <w:color w:val="0000FF"/>
      <w:u w:val="single"/>
    </w:rPr>
  </w:style>
  <w:style w:type="paragraph" w:styleId="Sansinterligne">
    <w:name w:val="No Spacing"/>
    <w:link w:val="SansinterligneCar"/>
    <w:uiPriority w:val="1"/>
    <w:qFormat/>
    <w:rsid w:val="0043374D"/>
    <w:rPr>
      <w:rFonts w:eastAsia="Times New Roman"/>
      <w:sz w:val="22"/>
      <w:szCs w:val="22"/>
    </w:rPr>
  </w:style>
  <w:style w:type="character" w:customStyle="1" w:styleId="SansinterligneCar">
    <w:name w:val="Sans interligne Car"/>
    <w:link w:val="Sansinterligne"/>
    <w:uiPriority w:val="1"/>
    <w:rsid w:val="0043374D"/>
    <w:rPr>
      <w:rFonts w:eastAsia="Times New Roman"/>
      <w:sz w:val="22"/>
      <w:szCs w:val="22"/>
    </w:rPr>
  </w:style>
  <w:style w:type="character" w:styleId="lev">
    <w:name w:val="Strong"/>
    <w:uiPriority w:val="22"/>
    <w:qFormat/>
    <w:rsid w:val="00304ADC"/>
    <w:rPr>
      <w:b/>
      <w:bCs/>
    </w:rPr>
  </w:style>
  <w:style w:type="table" w:styleId="Grilledutableau">
    <w:name w:val="Table Grid"/>
    <w:basedOn w:val="TableauNormal"/>
    <w:uiPriority w:val="59"/>
    <w:rsid w:val="000730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A236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A22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prix">
    <w:name w:val="prix"/>
    <w:basedOn w:val="Policepardfaut"/>
    <w:rsid w:val="002D3B54"/>
  </w:style>
  <w:style w:type="paragraph" w:customStyle="1" w:styleId="appentrylead">
    <w:name w:val="app_entry_lead"/>
    <w:basedOn w:val="Normal"/>
    <w:rsid w:val="000827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1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026574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23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4157">
          <w:blockQuote w:val="1"/>
          <w:marLeft w:val="0"/>
          <w:marRight w:val="0"/>
          <w:marTop w:val="300"/>
          <w:marBottom w:val="450"/>
          <w:divBdr>
            <w:top w:val="none" w:sz="0" w:space="0" w:color="89D659"/>
            <w:left w:val="single" w:sz="36" w:space="15" w:color="89D659"/>
            <w:bottom w:val="none" w:sz="0" w:space="0" w:color="89D659"/>
            <w:right w:val="none" w:sz="0" w:space="0" w:color="89D659"/>
          </w:divBdr>
        </w:div>
      </w:divsChild>
    </w:div>
    <w:div w:id="13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22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5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40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dashed" w:sz="6" w:space="4" w:color="B5B5B5"/>
            <w:right w:val="none" w:sz="0" w:space="0" w:color="auto"/>
          </w:divBdr>
        </w:div>
      </w:divsChild>
    </w:div>
    <w:div w:id="19326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95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2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9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chart" Target="charts/chart2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3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cga13\cga\MS\FCGA%202008\Barom&#232;tre\Barom&#232;tre%203T2021\Analyse%203T2021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cga13\cga\MS\FCGA%202008\Barom&#232;tre\Barom&#232;tre%203T2021\Analyse%203T2021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cga13\cga\MS\FCGA%202008\Barom&#232;tre\Barom&#232;tre%203T2021\Analyse%203T2021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cga13\cga\MS\FCGA%202008\Barom&#232;tre\Barom&#232;tre%203T2021\Analyse%203T2021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cga13\cga\MS\FCGA%202008\Barom&#232;tre\Barom&#232;tre%203T2021\Analyse%203T2021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cga13\cga\MS\FCGA%202008\Barom&#232;tre\Barom&#232;tre%203T2021\Analyse%203T2021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cga13\cga\MS\FCGA%202008\Barom&#232;tre\Barom&#232;tre%203T2021\Analyse%203T2021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cga13\cga\MS\FCGA%202008\Barom&#232;tre\Barom&#232;tre%203T2021\Analyse%203T2021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cga13\cga\MS\FCGA%202008\Barom&#232;tre\Barom&#232;tre%203T2021\Analyse%203T2021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cga13\cga\MS\FCGA%202008\Barom&#232;tre\Barom&#232;tre%203T2021\Analyse%203T2021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cga13\cga\MS\FCGA%202008\Barom&#232;tre\Barom&#232;tre%203T2021\Analyse%203T2021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cga13\cga\MS\FCGA%202008\Barom&#232;tre\Barom&#232;tre%203T2021\Analyse%203T2021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cga13\cga\MS\FCGA%202008\Barom&#232;tre\Barom&#232;tre%203T2021\Analyse%203T2021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fr-FR"/>
              <a:t>Moral des TPE</a:t>
            </a:r>
          </a:p>
        </c:rich>
      </c:tx>
      <c:layout>
        <c:manualLayout>
          <c:xMode val="edge"/>
          <c:yMode val="edge"/>
          <c:x val="0.41554090484452155"/>
          <c:y val="3.30331364829396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2.8020308936792738E-2"/>
          <c:y val="0.17117158792650916"/>
          <c:w val="0.70439247287438711"/>
          <c:h val="0.723725846136701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OPTI!$I$2</c:f>
              <c:strCache>
                <c:ptCount val="1"/>
                <c:pt idx="0">
                  <c:v>2nd trimestre 2021</c:v>
                </c:pt>
              </c:strCache>
            </c:strRef>
          </c:tx>
          <c:spPr>
            <a:solidFill>
              <a:srgbClr val="00FFFF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OPTI!$H$3:$H$6</c:f>
              <c:strCache>
                <c:ptCount val="4"/>
                <c:pt idx="0">
                  <c:v>Optimistes</c:v>
                </c:pt>
                <c:pt idx="1">
                  <c:v>Indécis</c:v>
                </c:pt>
                <c:pt idx="2">
                  <c:v>Pessimistes</c:v>
                </c:pt>
                <c:pt idx="3">
                  <c:v>NSP</c:v>
                </c:pt>
              </c:strCache>
            </c:strRef>
          </c:cat>
          <c:val>
            <c:numRef>
              <c:f>OPTI!$I$3:$I$6</c:f>
              <c:numCache>
                <c:formatCode>0.0%</c:formatCode>
                <c:ptCount val="4"/>
                <c:pt idx="0">
                  <c:v>0.115</c:v>
                </c:pt>
                <c:pt idx="1">
                  <c:v>0.59899999999999998</c:v>
                </c:pt>
                <c:pt idx="2">
                  <c:v>0.23200000000000001</c:v>
                </c:pt>
                <c:pt idx="3">
                  <c:v>5.3999999999999999E-2</c:v>
                </c:pt>
              </c:numCache>
            </c:numRef>
          </c:val>
        </c:ser>
        <c:ser>
          <c:idx val="1"/>
          <c:order val="1"/>
          <c:tx>
            <c:strRef>
              <c:f>OPTI!$J$2</c:f>
              <c:strCache>
                <c:ptCount val="1"/>
                <c:pt idx="0">
                  <c:v>3ème trimestre</c:v>
                </c:pt>
              </c:strCache>
            </c:strRef>
          </c:tx>
          <c:spPr>
            <a:solidFill>
              <a:srgbClr val="99CC00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OPTI!$H$3:$H$6</c:f>
              <c:strCache>
                <c:ptCount val="4"/>
                <c:pt idx="0">
                  <c:v>Optimistes</c:v>
                </c:pt>
                <c:pt idx="1">
                  <c:v>Indécis</c:v>
                </c:pt>
                <c:pt idx="2">
                  <c:v>Pessimistes</c:v>
                </c:pt>
                <c:pt idx="3">
                  <c:v>NSP</c:v>
                </c:pt>
              </c:strCache>
            </c:strRef>
          </c:cat>
          <c:val>
            <c:numRef>
              <c:f>OPTI!$J$3:$J$6</c:f>
              <c:numCache>
                <c:formatCode>0.0%</c:formatCode>
                <c:ptCount val="4"/>
                <c:pt idx="0">
                  <c:v>0.11673699015471167</c:v>
                </c:pt>
                <c:pt idx="1">
                  <c:v>0.57594936708860756</c:v>
                </c:pt>
                <c:pt idx="2">
                  <c:v>0.24753867791842477</c:v>
                </c:pt>
                <c:pt idx="3">
                  <c:v>5.9774964838255978E-2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4234752"/>
        <c:axId val="34236288"/>
      </c:barChart>
      <c:catAx>
        <c:axId val="34234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34236288"/>
        <c:crosses val="autoZero"/>
        <c:auto val="1"/>
        <c:lblAlgn val="ctr"/>
        <c:lblOffset val="100"/>
        <c:noMultiLvlLbl val="0"/>
      </c:catAx>
      <c:valAx>
        <c:axId val="34236288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extTo"/>
        <c:crossAx val="3423475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5506828595578102"/>
          <c:y val="0.42342486876640423"/>
          <c:w val="0.22972979225054491"/>
          <c:h val="0.14414435695538058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2258120971453874"/>
          <c:y val="0.1619718309859155"/>
          <c:w val="0.32437332754628617"/>
          <c:h val="0.63732394366197187"/>
        </c:manualLayout>
      </c:layout>
      <c:pie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</c:spPr>
          </c:dPt>
          <c:dPt>
            <c:idx val="1"/>
            <c:bubble3D val="0"/>
            <c:spPr>
              <a:solidFill>
                <a:srgbClr val="FF9B57"/>
              </a:solidFill>
            </c:spPr>
          </c:dPt>
          <c:dLbls>
            <c:dLbl>
              <c:idx val="0"/>
              <c:layout>
                <c:manualLayout>
                  <c:x val="7.6567910843585746E-2"/>
                  <c:y val="-6.462681601419544E-2"/>
                </c:manualLayout>
              </c:layout>
              <c:tx>
                <c:rich>
                  <a:bodyPr/>
                  <a:lstStyle/>
                  <a:p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Non
97,9%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3571717513805441E-2"/>
                  <c:y val="0.13233558833314849"/>
                </c:manualLayout>
              </c:layout>
              <c:tx>
                <c:rich>
                  <a:bodyPr/>
                  <a:lstStyle/>
                  <a:p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Oui
2,1%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7331178421598309"/>
                  <c:y val="3.819457395621050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ysClr val="windowText" lastClr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fr-F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ysClr val="windowText" lastClr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'INTENTION LICENCIEMENT'!$A$9:$A$10</c:f>
              <c:strCache>
                <c:ptCount val="2"/>
                <c:pt idx="0">
                  <c:v>Non</c:v>
                </c:pt>
                <c:pt idx="1">
                  <c:v>Oui</c:v>
                </c:pt>
              </c:strCache>
            </c:strRef>
          </c:cat>
          <c:val>
            <c:numRef>
              <c:f>'INTENTION LICENCIEMENT'!$C$9:$C$10</c:f>
              <c:numCache>
                <c:formatCode>0.00%</c:formatCode>
                <c:ptCount val="2"/>
                <c:pt idx="0">
                  <c:v>0.97870662460567825</c:v>
                </c:pt>
                <c:pt idx="1">
                  <c:v>2.1293375394321766E-2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400">
          <a:noFill/>
        </a:ln>
      </c:spPr>
    </c:plotArea>
    <c:plotVisOnly val="1"/>
    <c:dispBlanksAs val="zero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B28BFF"/>
              </a:solidFill>
            </c:spPr>
          </c:dPt>
          <c:dPt>
            <c:idx val="1"/>
            <c:invertIfNegative val="0"/>
            <c:bubble3D val="0"/>
            <c:spPr>
              <a:solidFill>
                <a:srgbClr val="FF7C80"/>
              </a:solidFill>
            </c:spPr>
          </c:dPt>
          <c:dPt>
            <c:idx val="2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3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4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</c:spPr>
          </c:dPt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'PREOCCUPATION '!$C$20:$C$24</c:f>
              <c:strCache>
                <c:ptCount val="5"/>
                <c:pt idx="0">
                  <c:v>Technique </c:v>
                </c:pt>
                <c:pt idx="1">
                  <c:v>Gestion du personnel </c:v>
                </c:pt>
                <c:pt idx="2">
                  <c:v>Administratif</c:v>
                </c:pt>
                <c:pt idx="3">
                  <c:v>Commercial</c:v>
                </c:pt>
                <c:pt idx="4">
                  <c:v>Financier </c:v>
                </c:pt>
              </c:strCache>
            </c:strRef>
          </c:cat>
          <c:val>
            <c:numRef>
              <c:f>'PREOCCUPATION '!$D$20:$D$24</c:f>
              <c:numCache>
                <c:formatCode>0.0%</c:formatCode>
                <c:ptCount val="5"/>
                <c:pt idx="0">
                  <c:v>8.1000000000000003E-2</c:v>
                </c:pt>
                <c:pt idx="1">
                  <c:v>0.11</c:v>
                </c:pt>
                <c:pt idx="2">
                  <c:v>0.111</c:v>
                </c:pt>
                <c:pt idx="3">
                  <c:v>0.29099999999999998</c:v>
                </c:pt>
                <c:pt idx="4">
                  <c:v>0.40699999999999997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0548992"/>
        <c:axId val="80550528"/>
      </c:barChart>
      <c:catAx>
        <c:axId val="805489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80550528"/>
        <c:crosses val="autoZero"/>
        <c:auto val="1"/>
        <c:lblAlgn val="ctr"/>
        <c:lblOffset val="100"/>
        <c:noMultiLvlLbl val="0"/>
      </c:catAx>
      <c:valAx>
        <c:axId val="80550528"/>
        <c:scaling>
          <c:orientation val="minMax"/>
        </c:scaling>
        <c:delete val="1"/>
        <c:axPos val="b"/>
        <c:numFmt formatCode="0.0%" sourceLinked="1"/>
        <c:majorTickMark val="out"/>
        <c:minorTickMark val="none"/>
        <c:tickLblPos val="nextTo"/>
        <c:crossAx val="8054899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fr-FR"/>
              <a:t>Demande de crédit de trésorerie au cours des 3 derniers mois </a:t>
            </a:r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36311048992338174"/>
          <c:y val="0.22977491449932397"/>
          <c:w val="0.28646748681898065"/>
          <c:h val="0.49544072948328266"/>
        </c:manualLayout>
      </c:layout>
      <c:pieChart>
        <c:varyColors val="1"/>
        <c:ser>
          <c:idx val="0"/>
          <c:order val="0"/>
          <c:explosion val="22"/>
          <c:dPt>
            <c:idx val="0"/>
            <c:bubble3D val="0"/>
            <c:spPr>
              <a:solidFill>
                <a:srgbClr val="FF6600"/>
              </a:solidFill>
            </c:spPr>
          </c:dPt>
          <c:dPt>
            <c:idx val="1"/>
            <c:bubble3D val="0"/>
            <c:spPr>
              <a:solidFill>
                <a:srgbClr val="00FFFF"/>
              </a:solidFill>
              <a:ln w="25400">
                <a:noFill/>
              </a:ln>
            </c:spPr>
          </c:dPt>
          <c:dLbls>
            <c:dLbl>
              <c:idx val="0"/>
              <c:layout>
                <c:manualLayout>
                  <c:x val="3.6038728902296705E-3"/>
                  <c:y val="-1.4379566190589813E-2"/>
                </c:manualLayout>
              </c:layout>
              <c:tx>
                <c:rich>
                  <a:bodyPr/>
                  <a:lstStyle/>
                  <a:p>
                    <a:r>
                      <a:rPr lang="fr-FR"/>
                      <a:t>Non
96,0%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1752718080714427E-2"/>
                  <c:y val="9.2613877810728204E-2"/>
                </c:manualLayout>
              </c:layout>
              <c:tx>
                <c:rich>
                  <a:bodyPr/>
                  <a:lstStyle/>
                  <a:p>
                    <a:r>
                      <a:rPr lang="fr-FR"/>
                      <a:t>Oui
4,0%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7832559359164227E-2"/>
                  <c:y val="6.122132015432282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</c:dLbls>
          <c:cat>
            <c:strRef>
              <c:f>CREDTRESORERIE!$A$4:$A$5</c:f>
              <c:strCache>
                <c:ptCount val="2"/>
                <c:pt idx="0">
                  <c:v>Non</c:v>
                </c:pt>
                <c:pt idx="1">
                  <c:v>Oui</c:v>
                </c:pt>
              </c:strCache>
            </c:strRef>
          </c:cat>
          <c:val>
            <c:numRef>
              <c:f>CREDTRESORERIE!$C$4:$C$5</c:f>
              <c:numCache>
                <c:formatCode>0.0%</c:formatCode>
                <c:ptCount val="2"/>
                <c:pt idx="0">
                  <c:v>0.96042402826855122</c:v>
                </c:pt>
                <c:pt idx="1">
                  <c:v>3.9575971731448764E-2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400">
          <a:noFill/>
        </a:ln>
      </c:spPr>
    </c:plotArea>
    <c:plotVisOnly val="1"/>
    <c:dispBlanksAs val="zero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150656167979004"/>
          <c:y val="0.10185185185185185"/>
          <c:w val="0.53888888888888886"/>
          <c:h val="0.89814814814814814"/>
        </c:manualLayout>
      </c:layout>
      <c:pieChart>
        <c:varyColors val="1"/>
        <c:ser>
          <c:idx val="0"/>
          <c:order val="0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CREDTRESORERIE!$G$21:$G$25</c:f>
              <c:strCache>
                <c:ptCount val="5"/>
                <c:pt idx="0">
                  <c:v>Pas besoin de crédit </c:v>
                </c:pt>
                <c:pt idx="1">
                  <c:v>Pas d'engagement supplémentaire </c:v>
                </c:pt>
                <c:pt idx="2">
                  <c:v>Situation de l'entreprise non favorable </c:v>
                </c:pt>
                <c:pt idx="3">
                  <c:v>Critères trop sévères du prêteur</c:v>
                </c:pt>
                <c:pt idx="4">
                  <c:v>Sans réponse </c:v>
                </c:pt>
              </c:strCache>
            </c:strRef>
          </c:cat>
          <c:val>
            <c:numRef>
              <c:f>CREDTRESORERIE!$I$21:$I$25</c:f>
              <c:numCache>
                <c:formatCode>0.0%</c:formatCode>
                <c:ptCount val="5"/>
                <c:pt idx="0">
                  <c:v>0.54318181818181821</c:v>
                </c:pt>
                <c:pt idx="1">
                  <c:v>0.21287878787878789</c:v>
                </c:pt>
                <c:pt idx="2">
                  <c:v>3.6363636363636362E-2</c:v>
                </c:pt>
                <c:pt idx="3">
                  <c:v>9.0909090909090905E-3</c:v>
                </c:pt>
                <c:pt idx="4">
                  <c:v>9.0151515151515149E-2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r"/>
      <c:layout/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fr-FR"/>
              <a:t>Demande de crédit d'investissements  au cours des 3 derniers mois </a:t>
            </a:r>
          </a:p>
        </c:rich>
      </c:tx>
      <c:layout>
        <c:manualLayout>
          <c:xMode val="edge"/>
          <c:yMode val="edge"/>
          <c:x val="0.14397512517508082"/>
          <c:y val="1.829288192908470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39123690464364586"/>
          <c:y val="0.26524429729822269"/>
          <c:w val="0.23630709040476208"/>
          <c:h val="0.46036653898886926"/>
        </c:manualLayout>
      </c:layout>
      <c:pieChart>
        <c:varyColors val="1"/>
        <c:ser>
          <c:idx val="0"/>
          <c:order val="0"/>
          <c:explosion val="6"/>
          <c:dPt>
            <c:idx val="0"/>
            <c:bubble3D val="0"/>
            <c:explosion val="9"/>
            <c:spPr>
              <a:solidFill>
                <a:srgbClr val="FF6600"/>
              </a:solidFill>
            </c:spPr>
          </c:dPt>
          <c:dPt>
            <c:idx val="1"/>
            <c:bubble3D val="0"/>
            <c:explosion val="18"/>
            <c:spPr>
              <a:solidFill>
                <a:srgbClr val="00FFFF"/>
              </a:solidFill>
              <a:ln w="25400">
                <a:noFill/>
              </a:ln>
            </c:spPr>
          </c:dPt>
          <c:dLbls>
            <c:dLbl>
              <c:idx val="0"/>
              <c:layout>
                <c:manualLayout>
                  <c:x val="6.5523147634714674E-2"/>
                  <c:y val="-0.17670864175685905"/>
                </c:manualLayout>
              </c:layout>
              <c:tx>
                <c:rich>
                  <a:bodyPr/>
                  <a:lstStyle/>
                  <a:p>
                    <a:r>
                      <a:rPr lang="fr-FR"/>
                      <a:t>Non
92,3%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2522634201241276"/>
                  <c:y val="7.3016996470946727E-2"/>
                </c:manualLayout>
              </c:layout>
              <c:tx>
                <c:rich>
                  <a:bodyPr/>
                  <a:lstStyle/>
                  <a:p>
                    <a:r>
                      <a:rPr lang="fr-FR"/>
                      <a:t>Oui
7,7%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7832559359164227E-2"/>
                  <c:y val="6.122132015432282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</c:dLbls>
          <c:cat>
            <c:strRef>
              <c:f>CREDINVESTSSEMENTS!$A$4:$A$5</c:f>
              <c:strCache>
                <c:ptCount val="2"/>
                <c:pt idx="0">
                  <c:v>Non</c:v>
                </c:pt>
                <c:pt idx="1">
                  <c:v>Oui</c:v>
                </c:pt>
              </c:strCache>
            </c:strRef>
          </c:cat>
          <c:val>
            <c:numRef>
              <c:f>CREDINVESTSSEMENTS!$C$4:$C$5</c:f>
              <c:numCache>
                <c:formatCode>0.0%</c:formatCode>
                <c:ptCount val="2"/>
                <c:pt idx="0">
                  <c:v>0.92253020611229564</c:v>
                </c:pt>
                <c:pt idx="1">
                  <c:v>7.7469793887704336E-2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400">
          <a:noFill/>
        </a:ln>
      </c:spPr>
    </c:plotArea>
    <c:plotVisOnly val="1"/>
    <c:dispBlanksAs val="zero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290415157959272"/>
          <c:y val="0.10079773874419544"/>
          <c:w val="0.53888888888888886"/>
          <c:h val="0.89814814814814814"/>
        </c:manualLayout>
      </c:layout>
      <c:pieChart>
        <c:varyColors val="1"/>
        <c:ser>
          <c:idx val="0"/>
          <c:order val="0"/>
          <c:explosion val="2"/>
          <c:dPt>
            <c:idx val="0"/>
            <c:bubble3D val="0"/>
          </c:dPt>
          <c:dPt>
            <c:idx val="1"/>
            <c:bubble3D val="0"/>
            <c:explosion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Lbls>
            <c:dLbl>
              <c:idx val="0"/>
              <c:layout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fr-F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fr-F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fr-F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fr-F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fr-F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CREDINVESTSSEMENTS!$H$23:$I$27</c:f>
              <c:strCache>
                <c:ptCount val="5"/>
                <c:pt idx="0">
                  <c:v>Pas besoin de crédit </c:v>
                </c:pt>
                <c:pt idx="1">
                  <c:v>Pas d'engagement supplémentaire </c:v>
                </c:pt>
                <c:pt idx="2">
                  <c:v>Situation de l'entreprise non favorable </c:v>
                </c:pt>
                <c:pt idx="3">
                  <c:v>Critères trop sévères du prêteur</c:v>
                </c:pt>
                <c:pt idx="4">
                  <c:v>Sans réponse </c:v>
                </c:pt>
              </c:strCache>
            </c:strRef>
          </c:cat>
          <c:val>
            <c:numRef>
              <c:f>CREDINVESTSSEMENTS!$J$23:$J$27</c:f>
              <c:numCache>
                <c:formatCode>0.00%</c:formatCode>
                <c:ptCount val="5"/>
                <c:pt idx="0">
                  <c:v>0.6059806508355321</c:v>
                </c:pt>
                <c:pt idx="1">
                  <c:v>0.24098504837291118</c:v>
                </c:pt>
                <c:pt idx="2">
                  <c:v>4.1336851363236587E-2</c:v>
                </c:pt>
                <c:pt idx="3">
                  <c:v>6.156552330694811E-3</c:v>
                </c:pt>
                <c:pt idx="4">
                  <c:v>0.10554089709762533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r"/>
      <c:layout/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fr-FR"/>
              <a:t>Demande de nouvelles exigences de la part de la banque en matière de garanties </a:t>
            </a:r>
          </a:p>
        </c:rich>
      </c:tx>
      <c:layout>
        <c:manualLayout>
          <c:xMode val="edge"/>
          <c:yMode val="edge"/>
          <c:x val="3.824758868331643E-2"/>
          <c:y val="6.245168217609162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39748994578846775"/>
          <c:y val="0.34277620396600567"/>
          <c:w val="0.2217575487030399"/>
          <c:h val="0.3002832861189802"/>
        </c:manualLayout>
      </c:layout>
      <c:pieChart>
        <c:varyColors val="1"/>
        <c:ser>
          <c:idx val="0"/>
          <c:order val="0"/>
          <c:explosion val="6"/>
          <c:dPt>
            <c:idx val="0"/>
            <c:bubble3D val="0"/>
            <c:explosion val="9"/>
            <c:spPr>
              <a:solidFill>
                <a:srgbClr val="FF6600"/>
              </a:solidFill>
            </c:spPr>
          </c:dPt>
          <c:dPt>
            <c:idx val="1"/>
            <c:bubble3D val="0"/>
            <c:explosion val="18"/>
            <c:spPr>
              <a:solidFill>
                <a:srgbClr val="00FFFF"/>
              </a:solidFill>
              <a:ln w="25400">
                <a:noFill/>
              </a:ln>
            </c:spPr>
          </c:dPt>
          <c:dLbls>
            <c:dLbl>
              <c:idx val="0"/>
              <c:layout>
                <c:manualLayout>
                  <c:x val="-0.10106903048161925"/>
                  <c:y val="2.4942436172751135E-2"/>
                </c:manualLayout>
              </c:layout>
              <c:tx>
                <c:rich>
                  <a:bodyPr/>
                  <a:lstStyle/>
                  <a:p>
                    <a:r>
                      <a:rPr lang="fr-FR"/>
                      <a:t>Non
83,,5%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0723958584931477E-3"/>
                  <c:y val="1.5481686948222381E-2"/>
                </c:manualLayout>
              </c:layout>
              <c:tx>
                <c:rich>
                  <a:bodyPr/>
                  <a:lstStyle/>
                  <a:p>
                    <a:r>
                      <a:rPr lang="fr-FR"/>
                      <a:t>Oui
16,5%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7832559359164227E-2"/>
                  <c:y val="6.122132015432282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</c:dLbls>
          <c:cat>
            <c:strRef>
              <c:f>'EXIGENCES '!$A$4:$A$5</c:f>
              <c:strCache>
                <c:ptCount val="2"/>
                <c:pt idx="0">
                  <c:v>Non</c:v>
                </c:pt>
                <c:pt idx="1">
                  <c:v>Oui</c:v>
                </c:pt>
              </c:strCache>
            </c:strRef>
          </c:cat>
          <c:val>
            <c:numRef>
              <c:f>'EXIGENCES '!$C$4:$C$5</c:f>
              <c:numCache>
                <c:formatCode>0.0%</c:formatCode>
                <c:ptCount val="2"/>
                <c:pt idx="0">
                  <c:v>0.8352713178294574</c:v>
                </c:pt>
                <c:pt idx="1">
                  <c:v>0.16472868217054262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400">
          <a:noFill/>
        </a:ln>
      </c:spPr>
    </c:plotArea>
    <c:plotVisOnly val="1"/>
    <c:dispBlanksAs val="zero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fr-FR"/>
              <a:t>Comparatif 3T2020 - 3T2021</a:t>
            </a:r>
          </a:p>
        </c:rich>
      </c:tx>
      <c:layout/>
      <c:overlay val="0"/>
    </c:title>
    <c:autoTitleDeleted val="0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'COMPARATIF '!$D$7</c:f>
              <c:strCache>
                <c:ptCount val="1"/>
                <c:pt idx="0">
                  <c:v>3T2021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'COMPARATIF '!$B$8:$B$10</c:f>
              <c:strCache>
                <c:ptCount val="3"/>
                <c:pt idx="0">
                  <c:v>Demande de crédit de trésorerie</c:v>
                </c:pt>
                <c:pt idx="1">
                  <c:v>Demande de Crédit d'investissement</c:v>
                </c:pt>
                <c:pt idx="2">
                  <c:v>Nouvelles exigences en matière de garantie</c:v>
                </c:pt>
              </c:strCache>
            </c:strRef>
          </c:cat>
          <c:val>
            <c:numRef>
              <c:f>'COMPARATIF '!$D$8:$D$10</c:f>
              <c:numCache>
                <c:formatCode>0.00%</c:formatCode>
                <c:ptCount val="3"/>
                <c:pt idx="0">
                  <c:v>0.04</c:v>
                </c:pt>
                <c:pt idx="1">
                  <c:v>7.6999999999999999E-2</c:v>
                </c:pt>
                <c:pt idx="2">
                  <c:v>0.16500000000000001</c:v>
                </c:pt>
              </c:numCache>
            </c:numRef>
          </c:val>
        </c:ser>
        <c:ser>
          <c:idx val="0"/>
          <c:order val="1"/>
          <c:tx>
            <c:strRef>
              <c:f>'COMPARATIF '!$C$7</c:f>
              <c:strCache>
                <c:ptCount val="1"/>
                <c:pt idx="0">
                  <c:v>3T2020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'COMPARATIF '!$B$8:$B$10</c:f>
              <c:strCache>
                <c:ptCount val="3"/>
                <c:pt idx="0">
                  <c:v>Demande de crédit de trésorerie</c:v>
                </c:pt>
                <c:pt idx="1">
                  <c:v>Demande de Crédit d'investissement</c:v>
                </c:pt>
                <c:pt idx="2">
                  <c:v>Nouvelles exigences en matière de garantie</c:v>
                </c:pt>
              </c:strCache>
            </c:strRef>
          </c:cat>
          <c:val>
            <c:numRef>
              <c:f>'COMPARATIF '!$C$8:$C$10</c:f>
              <c:numCache>
                <c:formatCode>0.00%</c:formatCode>
                <c:ptCount val="3"/>
                <c:pt idx="0">
                  <c:v>0.152</c:v>
                </c:pt>
                <c:pt idx="1">
                  <c:v>6.7000000000000004E-2</c:v>
                </c:pt>
                <c:pt idx="2">
                  <c:v>0.16400000000000001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058432"/>
        <c:axId val="81592704"/>
      </c:barChart>
      <c:catAx>
        <c:axId val="8105843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81592704"/>
        <c:crosses val="autoZero"/>
        <c:auto val="1"/>
        <c:lblAlgn val="ctr"/>
        <c:lblOffset val="100"/>
        <c:noMultiLvlLbl val="0"/>
      </c:catAx>
      <c:valAx>
        <c:axId val="81592704"/>
        <c:scaling>
          <c:orientation val="minMax"/>
        </c:scaling>
        <c:delete val="1"/>
        <c:axPos val="t"/>
        <c:numFmt formatCode="0.00%" sourceLinked="1"/>
        <c:majorTickMark val="out"/>
        <c:minorTickMark val="none"/>
        <c:tickLblPos val="nextTo"/>
        <c:crossAx val="81058432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b="1" i="0"/>
            </a:pPr>
            <a:r>
              <a:rPr lang="en-US" b="1" i="0"/>
              <a:t>Demande PGE 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3118712273641851"/>
          <c:y val="0.22151932963207333"/>
          <c:w val="0.3762575452716298"/>
          <c:h val="0.5917730663028244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</c:spPr>
          </c:dPt>
          <c:dPt>
            <c:idx val="1"/>
            <c:bubble3D val="0"/>
            <c:explosion val="8"/>
            <c:spPr>
              <a:solidFill>
                <a:srgbClr val="FF9B57"/>
              </a:solidFill>
            </c:spPr>
          </c:dPt>
          <c:dLbls>
            <c:dLbl>
              <c:idx val="0"/>
              <c:layout>
                <c:manualLayout>
                  <c:x val="9.7809745612784313E-2"/>
                  <c:y val="-0.12004983554270907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ysClr val="windowText" lastClr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Non
72,3%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1723897207149624E-2"/>
                  <c:y val="-8.785341705704509E-3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ysClr val="windowText" lastClr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Oui
27,7%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0796643480944357"/>
                  <c:y val="3.1250105964172242E-2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rgbClr val="339966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t>Sans Réponse
2%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PGE!$A$14:$A$15</c:f>
              <c:strCache>
                <c:ptCount val="2"/>
                <c:pt idx="0">
                  <c:v>Non</c:v>
                </c:pt>
                <c:pt idx="1">
                  <c:v>Oui</c:v>
                </c:pt>
              </c:strCache>
            </c:strRef>
          </c:cat>
          <c:val>
            <c:numRef>
              <c:f>PGE!$C$14:$C$15</c:f>
              <c:numCache>
                <c:formatCode>0.0%</c:formatCode>
                <c:ptCount val="2"/>
                <c:pt idx="0">
                  <c:v>0.72290021536252691</c:v>
                </c:pt>
                <c:pt idx="1">
                  <c:v>0.27709978463747309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400">
          <a:noFill/>
        </a:ln>
      </c:spPr>
    </c:plotArea>
    <c:plotVisOnly val="1"/>
    <c:dispBlanksAs val="zero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16"/>
    </mc:Choice>
    <mc:Fallback>
      <c:style val="16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1547713726419652"/>
          <c:y val="4.0009332166812475E-2"/>
          <c:w val="0.68452286273580354"/>
          <c:h val="0.92427646544181974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PGE!$A$56:$A$66</c:f>
              <c:strCache>
                <c:ptCount val="11"/>
                <c:pt idx="0">
                  <c:v>Equipement de la personne</c:v>
                </c:pt>
                <c:pt idx="1">
                  <c:v>Culture et loisirs</c:v>
                </c:pt>
                <c:pt idx="2">
                  <c:v>Café, hôtellerie, restauration</c:v>
                </c:pt>
                <c:pt idx="3">
                  <c:v>Equipement de la maison</c:v>
                </c:pt>
                <c:pt idx="4">
                  <c:v>Services</c:v>
                </c:pt>
                <c:pt idx="5">
                  <c:v>Automobile</c:v>
                </c:pt>
                <c:pt idx="6">
                  <c:v>Beauté, esthétique</c:v>
                </c:pt>
                <c:pt idx="7">
                  <c:v>Commerce de détail alimentaire</c:v>
                </c:pt>
                <c:pt idx="8">
                  <c:v>Bâtiment</c:v>
                </c:pt>
                <c:pt idx="9">
                  <c:v>Transports</c:v>
                </c:pt>
                <c:pt idx="10">
                  <c:v>Santé</c:v>
                </c:pt>
              </c:strCache>
            </c:strRef>
          </c:cat>
          <c:val>
            <c:numRef>
              <c:f>PGE!$B$56:$B$66</c:f>
              <c:numCache>
                <c:formatCode>0.0%</c:formatCode>
                <c:ptCount val="11"/>
                <c:pt idx="0">
                  <c:v>0.56000000000000005</c:v>
                </c:pt>
                <c:pt idx="1">
                  <c:v>0.48099999999999998</c:v>
                </c:pt>
                <c:pt idx="2">
                  <c:v>0.45900000000000002</c:v>
                </c:pt>
                <c:pt idx="3">
                  <c:v>0.42099999999999999</c:v>
                </c:pt>
                <c:pt idx="4">
                  <c:v>0.33900000000000002</c:v>
                </c:pt>
                <c:pt idx="5">
                  <c:v>0.32</c:v>
                </c:pt>
                <c:pt idx="6">
                  <c:v>0.31900000000000001</c:v>
                </c:pt>
                <c:pt idx="7">
                  <c:v>0.315</c:v>
                </c:pt>
                <c:pt idx="8">
                  <c:v>0.22700000000000001</c:v>
                </c:pt>
                <c:pt idx="9">
                  <c:v>0.2</c:v>
                </c:pt>
                <c:pt idx="10">
                  <c:v>0.151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745024"/>
        <c:axId val="81746560"/>
      </c:barChart>
      <c:catAx>
        <c:axId val="81745024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81746560"/>
        <c:crosses val="autoZero"/>
        <c:auto val="1"/>
        <c:lblAlgn val="ctr"/>
        <c:lblOffset val="100"/>
        <c:noMultiLvlLbl val="0"/>
      </c:catAx>
      <c:valAx>
        <c:axId val="81746560"/>
        <c:scaling>
          <c:orientation val="minMax"/>
        </c:scaling>
        <c:delete val="1"/>
        <c:axPos val="t"/>
        <c:numFmt formatCode="0.0%" sourceLinked="1"/>
        <c:majorTickMark val="out"/>
        <c:minorTickMark val="none"/>
        <c:tickLblPos val="nextTo"/>
        <c:crossAx val="8174502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319723770792386"/>
          <c:y val="4.6511627906976744E-2"/>
          <c:w val="0.67465753424657537"/>
          <c:h val="0.910300480008824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OPTI!$A$40</c:f>
              <c:strCache>
                <c:ptCount val="1"/>
                <c:pt idx="0">
                  <c:v>SR</c:v>
                </c:pt>
              </c:strCache>
            </c:strRef>
          </c:tx>
          <c:spPr>
            <a:solidFill>
              <a:srgbClr val="33CAFF"/>
            </a:solidFill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OPTI!$B$39:$E$39</c:f>
              <c:strCache>
                <c:ptCount val="4"/>
                <c:pt idx="0">
                  <c:v>60 ans et plus</c:v>
                </c:pt>
                <c:pt idx="1">
                  <c:v>50-59 ans</c:v>
                </c:pt>
                <c:pt idx="2">
                  <c:v>40-49 ans</c:v>
                </c:pt>
                <c:pt idx="3">
                  <c:v>Moins de 39 ans</c:v>
                </c:pt>
              </c:strCache>
            </c:strRef>
          </c:cat>
          <c:val>
            <c:numRef>
              <c:f>OPTI!$B$40:$E$40</c:f>
              <c:numCache>
                <c:formatCode>0.0%</c:formatCode>
                <c:ptCount val="4"/>
                <c:pt idx="0">
                  <c:v>7.5362318840579715E-2</c:v>
                </c:pt>
                <c:pt idx="1">
                  <c:v>5.3712480252764615E-2</c:v>
                </c:pt>
                <c:pt idx="2">
                  <c:v>4.4982698961937718E-2</c:v>
                </c:pt>
                <c:pt idx="3">
                  <c:v>8.9552238805970144E-2</c:v>
                </c:pt>
              </c:numCache>
            </c:numRef>
          </c:val>
        </c:ser>
        <c:ser>
          <c:idx val="1"/>
          <c:order val="1"/>
          <c:tx>
            <c:strRef>
              <c:f>OPTI!$A$41</c:f>
              <c:strCache>
                <c:ptCount val="1"/>
                <c:pt idx="0">
                  <c:v>Hausse</c:v>
                </c:pt>
              </c:strCache>
            </c:strRef>
          </c:tx>
          <c:spPr>
            <a:solidFill>
              <a:srgbClr val="FF9B57"/>
            </a:solidFill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OPTI!$B$39:$E$39</c:f>
              <c:strCache>
                <c:ptCount val="4"/>
                <c:pt idx="0">
                  <c:v>60 ans et plus</c:v>
                </c:pt>
                <c:pt idx="1">
                  <c:v>50-59 ans</c:v>
                </c:pt>
                <c:pt idx="2">
                  <c:v>40-49 ans</c:v>
                </c:pt>
                <c:pt idx="3">
                  <c:v>Moins de 39 ans</c:v>
                </c:pt>
              </c:strCache>
            </c:strRef>
          </c:cat>
          <c:val>
            <c:numRef>
              <c:f>OPTI!$B$41:$E$41</c:f>
              <c:numCache>
                <c:formatCode>0.0%</c:formatCode>
                <c:ptCount val="4"/>
                <c:pt idx="0">
                  <c:v>0.11304347826086956</c:v>
                </c:pt>
                <c:pt idx="1">
                  <c:v>0.10584518167456557</c:v>
                </c:pt>
                <c:pt idx="2">
                  <c:v>0.13840830449826991</c:v>
                </c:pt>
                <c:pt idx="3">
                  <c:v>0.14925373134328357</c:v>
                </c:pt>
              </c:numCache>
            </c:numRef>
          </c:val>
        </c:ser>
        <c:ser>
          <c:idx val="2"/>
          <c:order val="2"/>
          <c:tx>
            <c:strRef>
              <c:f>OPTI!$A$42</c:f>
              <c:strCache>
                <c:ptCount val="1"/>
                <c:pt idx="0">
                  <c:v>Stable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OPTI!$B$39:$E$39</c:f>
              <c:strCache>
                <c:ptCount val="4"/>
                <c:pt idx="0">
                  <c:v>60 ans et plus</c:v>
                </c:pt>
                <c:pt idx="1">
                  <c:v>50-59 ans</c:v>
                </c:pt>
                <c:pt idx="2">
                  <c:v>40-49 ans</c:v>
                </c:pt>
                <c:pt idx="3">
                  <c:v>Moins de 39 ans</c:v>
                </c:pt>
              </c:strCache>
            </c:strRef>
          </c:cat>
          <c:val>
            <c:numRef>
              <c:f>OPTI!$B$42:$E$42</c:f>
              <c:numCache>
                <c:formatCode>0.0%</c:formatCode>
                <c:ptCount val="4"/>
                <c:pt idx="0">
                  <c:v>0.53913043478260869</c:v>
                </c:pt>
                <c:pt idx="1">
                  <c:v>0.59873617693522907</c:v>
                </c:pt>
                <c:pt idx="2">
                  <c:v>0.58477508650519028</c:v>
                </c:pt>
                <c:pt idx="3">
                  <c:v>0.63432835820895528</c:v>
                </c:pt>
              </c:numCache>
            </c:numRef>
          </c:val>
        </c:ser>
        <c:ser>
          <c:idx val="3"/>
          <c:order val="3"/>
          <c:tx>
            <c:strRef>
              <c:f>OPTI!$A$43</c:f>
              <c:strCache>
                <c:ptCount val="1"/>
                <c:pt idx="0">
                  <c:v>Baisse</c:v>
                </c:pt>
              </c:strCache>
            </c:strRef>
          </c:tx>
          <c:spPr>
            <a:solidFill>
              <a:srgbClr val="B28BFF"/>
            </a:solidFill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OPTI!$B$39:$E$39</c:f>
              <c:strCache>
                <c:ptCount val="4"/>
                <c:pt idx="0">
                  <c:v>60 ans et plus</c:v>
                </c:pt>
                <c:pt idx="1">
                  <c:v>50-59 ans</c:v>
                </c:pt>
                <c:pt idx="2">
                  <c:v>40-49 ans</c:v>
                </c:pt>
                <c:pt idx="3">
                  <c:v>Moins de 39 ans</c:v>
                </c:pt>
              </c:strCache>
            </c:strRef>
          </c:cat>
          <c:val>
            <c:numRef>
              <c:f>OPTI!$B$43:$E$43</c:f>
              <c:numCache>
                <c:formatCode>0.0%</c:formatCode>
                <c:ptCount val="4"/>
                <c:pt idx="0">
                  <c:v>0.27246376811594203</c:v>
                </c:pt>
                <c:pt idx="1">
                  <c:v>0.24170616113744076</c:v>
                </c:pt>
                <c:pt idx="2">
                  <c:v>0.23183391003460208</c:v>
                </c:pt>
                <c:pt idx="3">
                  <c:v>0.12686567164179105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6444032"/>
        <c:axId val="76445568"/>
      </c:barChart>
      <c:catAx>
        <c:axId val="764440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76445568"/>
        <c:crosses val="autoZero"/>
        <c:auto val="1"/>
        <c:lblAlgn val="ctr"/>
        <c:lblOffset val="100"/>
        <c:noMultiLvlLbl val="0"/>
      </c:catAx>
      <c:valAx>
        <c:axId val="76445568"/>
        <c:scaling>
          <c:orientation val="minMax"/>
        </c:scaling>
        <c:delete val="1"/>
        <c:axPos val="b"/>
        <c:numFmt formatCode="0.0%" sourceLinked="1"/>
        <c:majorTickMark val="out"/>
        <c:minorTickMark val="none"/>
        <c:tickLblPos val="nextTo"/>
        <c:crossAx val="764440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7671239636374465"/>
          <c:y val="0.34219338861712051"/>
          <c:w val="0.10958911335434773"/>
          <c:h val="0.3887050165240972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en-US"/>
              <a:t>Si Oui, Utilisation du</a:t>
            </a:r>
            <a:r>
              <a:rPr lang="en-US" baseline="0"/>
              <a:t> PGE </a:t>
            </a:r>
            <a:endParaRPr lang="en-US"/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434691745036573"/>
          <c:y val="0.19172616376320836"/>
          <c:w val="0.78683385579937304"/>
          <c:h val="0.66321433914024996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333399"/>
                    </a:solidFill>
                    <a:latin typeface="Verdana"/>
                    <a:ea typeface="Verdana"/>
                    <a:cs typeface="Verdana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'Si oui '!$G$13:$G$16</c:f>
              <c:strCache>
                <c:ptCount val="4"/>
                <c:pt idx="0">
                  <c:v>Pour investir</c:v>
                </c:pt>
                <c:pt idx="1">
                  <c:v>Pour conforter la trésorerie</c:v>
                </c:pt>
                <c:pt idx="2">
                  <c:v>Pour faire face à vos charges</c:v>
                </c:pt>
                <c:pt idx="3">
                  <c:v>Autres</c:v>
                </c:pt>
              </c:strCache>
            </c:strRef>
          </c:cat>
          <c:val>
            <c:numRef>
              <c:f>'Si oui '!$H$13:$H$16</c:f>
              <c:numCache>
                <c:formatCode>0.0%</c:formatCode>
                <c:ptCount val="4"/>
                <c:pt idx="0">
                  <c:v>0.26666666666666666</c:v>
                </c:pt>
                <c:pt idx="1">
                  <c:v>0.84429065743944631</c:v>
                </c:pt>
                <c:pt idx="2">
                  <c:v>0.74632352941176472</c:v>
                </c:pt>
                <c:pt idx="3">
                  <c:v>0.17582417582417584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2184448"/>
        <c:axId val="82194432"/>
      </c:barChart>
      <c:catAx>
        <c:axId val="82184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82194432"/>
        <c:crosses val="autoZero"/>
        <c:auto val="1"/>
        <c:lblAlgn val="ctr"/>
        <c:lblOffset val="100"/>
        <c:noMultiLvlLbl val="0"/>
      </c:catAx>
      <c:valAx>
        <c:axId val="82194432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extTo"/>
        <c:crossAx val="8218444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en-US"/>
              <a:t>Utilisation du</a:t>
            </a:r>
            <a:r>
              <a:rPr lang="en-US" baseline="0"/>
              <a:t> PGE </a:t>
            </a:r>
            <a:endParaRPr lang="en-US"/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434691745036573"/>
          <c:y val="0.18827192897184147"/>
          <c:w val="0.80564263322884011"/>
          <c:h val="0.66666867606058322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333399"/>
                    </a:solidFill>
                    <a:latin typeface="Verdana"/>
                    <a:ea typeface="Verdana"/>
                    <a:cs typeface="Verdana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'Si non'!$G$13:$G$15</c:f>
              <c:strCache>
                <c:ptCount val="3"/>
                <c:pt idx="0">
                  <c:v>Pas de demandes faites </c:v>
                </c:pt>
                <c:pt idx="1">
                  <c:v>Pas d'obtention </c:v>
                </c:pt>
                <c:pt idx="2">
                  <c:v>Autres</c:v>
                </c:pt>
              </c:strCache>
            </c:strRef>
          </c:cat>
          <c:val>
            <c:numRef>
              <c:f>'Si non'!$H$13:$H$15</c:f>
              <c:numCache>
                <c:formatCode>0.0%</c:formatCode>
                <c:ptCount val="3"/>
                <c:pt idx="0">
                  <c:v>0.81889763779527558</c:v>
                </c:pt>
                <c:pt idx="1">
                  <c:v>0.15789473684210525</c:v>
                </c:pt>
                <c:pt idx="2">
                  <c:v>0.28235294117647058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711104"/>
        <c:axId val="81712640"/>
      </c:barChart>
      <c:catAx>
        <c:axId val="81711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81712640"/>
        <c:crosses val="autoZero"/>
        <c:auto val="1"/>
        <c:lblAlgn val="ctr"/>
        <c:lblOffset val="100"/>
        <c:noMultiLvlLbl val="0"/>
      </c:catAx>
      <c:valAx>
        <c:axId val="81712640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extTo"/>
        <c:crossAx val="8171110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b="1" i="0"/>
            </a:pPr>
            <a:r>
              <a:rPr lang="en-US" b="1" i="0"/>
              <a:t>Remboursement</a:t>
            </a:r>
            <a:r>
              <a:rPr lang="en-US" b="1" i="0" baseline="0"/>
              <a:t> </a:t>
            </a:r>
            <a:r>
              <a:rPr lang="en-US" b="1" i="0"/>
              <a:t>PGE 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3118712273641851"/>
          <c:y val="0.22151932963207333"/>
          <c:w val="0.3762575452716298"/>
          <c:h val="0.5917730663028244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</c:spPr>
          </c:dPt>
          <c:dPt>
            <c:idx val="1"/>
            <c:bubble3D val="0"/>
            <c:explosion val="8"/>
            <c:spPr>
              <a:solidFill>
                <a:srgbClr val="FF9B57"/>
              </a:solidFill>
            </c:spPr>
          </c:dPt>
          <c:dLbls>
            <c:dLbl>
              <c:idx val="0"/>
              <c:layout>
                <c:manualLayout>
                  <c:x val="9.7809745612784313E-2"/>
                  <c:y val="-0.12004983554270907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ysClr val="windowText" lastClr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Non
82,7%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1.1723897207149624E-2"/>
                  <c:y val="-8.785341705704509E-3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ysClr val="windowText" lastClr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Oui
17,3%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10796643480944357"/>
                  <c:y val="3.1250105964172242E-2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rgbClr val="339966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t>Sans Réponse
2%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Rembpge!$A$14:$A$15</c:f>
              <c:strCache>
                <c:ptCount val="2"/>
                <c:pt idx="0">
                  <c:v>Non</c:v>
                </c:pt>
                <c:pt idx="1">
                  <c:v>Oui</c:v>
                </c:pt>
              </c:strCache>
            </c:strRef>
          </c:cat>
          <c:val>
            <c:numRef>
              <c:f>Rembpge!$C$14:$C$15</c:f>
              <c:numCache>
                <c:formatCode>0.0%</c:formatCode>
                <c:ptCount val="2"/>
                <c:pt idx="0">
                  <c:v>0.82744282744282749</c:v>
                </c:pt>
                <c:pt idx="1">
                  <c:v>0.17255717255717257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400">
          <a:noFill/>
        </a:ln>
      </c:spPr>
    </c:plotArea>
    <c:plotVisOnly val="1"/>
    <c:dispBlanksAs val="zero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 rtl="0">
              <a:defRPr lang="fr-FR"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fr-FR"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Report d'un an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9.7280460757359341E-2"/>
          <c:y val="8.7962962962962965E-2"/>
          <c:w val="0.87216404199475062"/>
          <c:h val="0.85648148148148151"/>
        </c:manualLayout>
      </c:layout>
      <c:bar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0.2249999999999999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45833333333333331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Rembpge!$G$23:$G$24</c:f>
              <c:strCache>
                <c:ptCount val="2"/>
                <c:pt idx="0">
                  <c:v>Oui</c:v>
                </c:pt>
                <c:pt idx="1">
                  <c:v>Non </c:v>
                </c:pt>
              </c:strCache>
            </c:strRef>
          </c:cat>
          <c:val>
            <c:numRef>
              <c:f>Rembpge!$H$23:$H$24</c:f>
              <c:numCache>
                <c:formatCode>0.00%</c:formatCode>
                <c:ptCount val="2"/>
                <c:pt idx="0">
                  <c:v>0.48899999999999999</c:v>
                </c:pt>
                <c:pt idx="1">
                  <c:v>0.51100000000000001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82351616"/>
        <c:axId val="82353152"/>
      </c:barChart>
      <c:catAx>
        <c:axId val="82351616"/>
        <c:scaling>
          <c:orientation val="minMax"/>
        </c:scaling>
        <c:delete val="0"/>
        <c:axPos val="l"/>
        <c:majorTickMark val="out"/>
        <c:minorTickMark val="none"/>
        <c:tickLblPos val="nextTo"/>
        <c:crossAx val="82353152"/>
        <c:crosses val="autoZero"/>
        <c:auto val="1"/>
        <c:lblAlgn val="ctr"/>
        <c:lblOffset val="100"/>
        <c:noMultiLvlLbl val="0"/>
      </c:catAx>
      <c:valAx>
        <c:axId val="82353152"/>
        <c:scaling>
          <c:orientation val="minMax"/>
        </c:scaling>
        <c:delete val="1"/>
        <c:axPos val="b"/>
        <c:numFmt formatCode="0.00%" sourceLinked="1"/>
        <c:majorTickMark val="out"/>
        <c:minorTickMark val="none"/>
        <c:tickLblPos val="nextTo"/>
        <c:crossAx val="8235161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/>
              <a:t>Durée</a:t>
            </a:r>
            <a:r>
              <a:rPr lang="en-US" sz="1200" baseline="0"/>
              <a:t> d'étalement de remboursement du PGE </a:t>
            </a:r>
            <a:endParaRPr lang="en-US" sz="1200"/>
          </a:p>
        </c:rich>
      </c:tx>
      <c:layout/>
      <c:overlay val="0"/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0.38702681296514296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4734774066797643"/>
                  <c:y val="4.24377813600666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Rembpge!$G$29:$G$30</c:f>
              <c:strCache>
                <c:ptCount val="2"/>
                <c:pt idx="0">
                  <c:v>Moins de 5ans </c:v>
                </c:pt>
                <c:pt idx="1">
                  <c:v>Plus de 5ans </c:v>
                </c:pt>
              </c:strCache>
            </c:strRef>
          </c:cat>
          <c:val>
            <c:numRef>
              <c:f>Rembpge!$H$29:$H$30</c:f>
              <c:numCache>
                <c:formatCode>0.0%</c:formatCode>
                <c:ptCount val="2"/>
                <c:pt idx="0">
                  <c:v>0.59215686274509804</c:v>
                </c:pt>
                <c:pt idx="1">
                  <c:v>0.18571428571428572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82779136"/>
        <c:axId val="82785024"/>
      </c:barChart>
      <c:catAx>
        <c:axId val="82779136"/>
        <c:scaling>
          <c:orientation val="minMax"/>
        </c:scaling>
        <c:delete val="0"/>
        <c:axPos val="l"/>
        <c:majorTickMark val="none"/>
        <c:minorTickMark val="none"/>
        <c:tickLblPos val="nextTo"/>
        <c:crossAx val="82785024"/>
        <c:crosses val="autoZero"/>
        <c:auto val="1"/>
        <c:lblAlgn val="ctr"/>
        <c:lblOffset val="100"/>
        <c:noMultiLvlLbl val="0"/>
      </c:catAx>
      <c:valAx>
        <c:axId val="82785024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8277913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5893416927899685"/>
          <c:y val="5.7339513756443694E-2"/>
          <c:w val="0.50783699059561127"/>
          <c:h val="0.9334872839549033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OPTI!$B$73</c:f>
              <c:strCache>
                <c:ptCount val="1"/>
                <c:pt idx="0">
                  <c:v>Hausse</c:v>
                </c:pt>
              </c:strCache>
            </c:strRef>
          </c:tx>
          <c:spPr>
            <a:solidFill>
              <a:srgbClr val="00CC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09739368998628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1390932100565619E-3"/>
                  <c:y val="2.4644806723103275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7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OPTI!$A$74:$A$84</c:f>
              <c:strCache>
                <c:ptCount val="11"/>
                <c:pt idx="0">
                  <c:v>Automobile</c:v>
                </c:pt>
                <c:pt idx="1">
                  <c:v>Bâtiment</c:v>
                </c:pt>
                <c:pt idx="2">
                  <c:v>Beauté, esthétique</c:v>
                </c:pt>
                <c:pt idx="3">
                  <c:v>Commerce de détail alimentaire</c:v>
                </c:pt>
                <c:pt idx="4">
                  <c:v>Culture et loisirs</c:v>
                </c:pt>
                <c:pt idx="5">
                  <c:v>Equipement de la maison</c:v>
                </c:pt>
                <c:pt idx="6">
                  <c:v>Equipement de la personne</c:v>
                </c:pt>
                <c:pt idx="7">
                  <c:v>Café, hôtellerie, restauration</c:v>
                </c:pt>
                <c:pt idx="8">
                  <c:v>Santé</c:v>
                </c:pt>
                <c:pt idx="9">
                  <c:v>Services</c:v>
                </c:pt>
                <c:pt idx="10">
                  <c:v>Transports</c:v>
                </c:pt>
              </c:strCache>
            </c:strRef>
          </c:cat>
          <c:val>
            <c:numRef>
              <c:f>OPTI!$B$74:$B$84</c:f>
              <c:numCache>
                <c:formatCode>0.0%</c:formatCode>
                <c:ptCount val="11"/>
                <c:pt idx="0">
                  <c:v>2.0833333333333332E-2</c:v>
                </c:pt>
                <c:pt idx="1">
                  <c:v>0.12621359223300971</c:v>
                </c:pt>
                <c:pt idx="2">
                  <c:v>6.6666666666666666E-2</c:v>
                </c:pt>
                <c:pt idx="3">
                  <c:v>8.2191780821917804E-2</c:v>
                </c:pt>
                <c:pt idx="4">
                  <c:v>0.11538461538461539</c:v>
                </c:pt>
                <c:pt idx="5">
                  <c:v>0</c:v>
                </c:pt>
                <c:pt idx="6">
                  <c:v>0.15</c:v>
                </c:pt>
                <c:pt idx="7">
                  <c:v>4.4444444444444446E-2</c:v>
                </c:pt>
                <c:pt idx="8">
                  <c:v>0.14545454545454545</c:v>
                </c:pt>
                <c:pt idx="9">
                  <c:v>0.11666666666666667</c:v>
                </c:pt>
                <c:pt idx="10">
                  <c:v>0.17647058823529413</c:v>
                </c:pt>
              </c:numCache>
            </c:numRef>
          </c:val>
        </c:ser>
        <c:ser>
          <c:idx val="1"/>
          <c:order val="1"/>
          <c:tx>
            <c:strRef>
              <c:f>OPTI!$C$73</c:f>
              <c:strCache>
                <c:ptCount val="1"/>
                <c:pt idx="0">
                  <c:v>Stable</c:v>
                </c:pt>
              </c:strCache>
            </c:strRef>
          </c:tx>
          <c:spPr>
            <a:solidFill>
              <a:srgbClr val="FFCC99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25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OPTI!$A$74:$A$84</c:f>
              <c:strCache>
                <c:ptCount val="11"/>
                <c:pt idx="0">
                  <c:v>Automobile</c:v>
                </c:pt>
                <c:pt idx="1">
                  <c:v>Bâtiment</c:v>
                </c:pt>
                <c:pt idx="2">
                  <c:v>Beauté, esthétique</c:v>
                </c:pt>
                <c:pt idx="3">
                  <c:v>Commerce de détail alimentaire</c:v>
                </c:pt>
                <c:pt idx="4">
                  <c:v>Culture et loisirs</c:v>
                </c:pt>
                <c:pt idx="5">
                  <c:v>Equipement de la maison</c:v>
                </c:pt>
                <c:pt idx="6">
                  <c:v>Equipement de la personne</c:v>
                </c:pt>
                <c:pt idx="7">
                  <c:v>Café, hôtellerie, restauration</c:v>
                </c:pt>
                <c:pt idx="8">
                  <c:v>Santé</c:v>
                </c:pt>
                <c:pt idx="9">
                  <c:v>Services</c:v>
                </c:pt>
                <c:pt idx="10">
                  <c:v>Transports</c:v>
                </c:pt>
              </c:strCache>
            </c:strRef>
          </c:cat>
          <c:val>
            <c:numRef>
              <c:f>OPTI!$C$74:$C$84</c:f>
              <c:numCache>
                <c:formatCode>0.0%</c:formatCode>
                <c:ptCount val="11"/>
                <c:pt idx="0">
                  <c:v>0.58333333333333337</c:v>
                </c:pt>
                <c:pt idx="1">
                  <c:v>0.69417475728155342</c:v>
                </c:pt>
                <c:pt idx="2">
                  <c:v>0.7142857142857143</c:v>
                </c:pt>
                <c:pt idx="3">
                  <c:v>0.57534246575342463</c:v>
                </c:pt>
                <c:pt idx="4">
                  <c:v>0.53846153846153844</c:v>
                </c:pt>
                <c:pt idx="5">
                  <c:v>0.7</c:v>
                </c:pt>
                <c:pt idx="6">
                  <c:v>0.7</c:v>
                </c:pt>
                <c:pt idx="7">
                  <c:v>0.43333333333333335</c:v>
                </c:pt>
                <c:pt idx="8">
                  <c:v>0.63636363636363635</c:v>
                </c:pt>
                <c:pt idx="9">
                  <c:v>0.6</c:v>
                </c:pt>
                <c:pt idx="10">
                  <c:v>0.61764705882352944</c:v>
                </c:pt>
              </c:numCache>
            </c:numRef>
          </c:val>
        </c:ser>
        <c:ser>
          <c:idx val="2"/>
          <c:order val="2"/>
          <c:tx>
            <c:strRef>
              <c:f>OPTI!$D$73</c:f>
              <c:strCache>
                <c:ptCount val="1"/>
                <c:pt idx="0">
                  <c:v>Baisse</c:v>
                </c:pt>
              </c:strCache>
            </c:strRef>
          </c:tx>
          <c:spPr>
            <a:solidFill>
              <a:srgbClr val="CC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25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OPTI!$A$74:$A$84</c:f>
              <c:strCache>
                <c:ptCount val="11"/>
                <c:pt idx="0">
                  <c:v>Automobile</c:v>
                </c:pt>
                <c:pt idx="1">
                  <c:v>Bâtiment</c:v>
                </c:pt>
                <c:pt idx="2">
                  <c:v>Beauté, esthétique</c:v>
                </c:pt>
                <c:pt idx="3">
                  <c:v>Commerce de détail alimentaire</c:v>
                </c:pt>
                <c:pt idx="4">
                  <c:v>Culture et loisirs</c:v>
                </c:pt>
                <c:pt idx="5">
                  <c:v>Equipement de la maison</c:v>
                </c:pt>
                <c:pt idx="6">
                  <c:v>Equipement de la personne</c:v>
                </c:pt>
                <c:pt idx="7">
                  <c:v>Café, hôtellerie, restauration</c:v>
                </c:pt>
                <c:pt idx="8">
                  <c:v>Santé</c:v>
                </c:pt>
                <c:pt idx="9">
                  <c:v>Services</c:v>
                </c:pt>
                <c:pt idx="10">
                  <c:v>Transports</c:v>
                </c:pt>
              </c:strCache>
            </c:strRef>
          </c:cat>
          <c:val>
            <c:numRef>
              <c:f>OPTI!$D$74:$D$84</c:f>
              <c:numCache>
                <c:formatCode>0.0%</c:formatCode>
                <c:ptCount val="11"/>
                <c:pt idx="0">
                  <c:v>0.39583333333333331</c:v>
                </c:pt>
                <c:pt idx="1">
                  <c:v>0.1796116504854369</c:v>
                </c:pt>
                <c:pt idx="2">
                  <c:v>0.21904761904761905</c:v>
                </c:pt>
                <c:pt idx="3">
                  <c:v>0.34246575342465752</c:v>
                </c:pt>
                <c:pt idx="4">
                  <c:v>0.34615384615384615</c:v>
                </c:pt>
                <c:pt idx="5">
                  <c:v>0.3</c:v>
                </c:pt>
                <c:pt idx="6">
                  <c:v>0.15</c:v>
                </c:pt>
                <c:pt idx="7">
                  <c:v>0.52222222222222225</c:v>
                </c:pt>
                <c:pt idx="8">
                  <c:v>0.21818181818181817</c:v>
                </c:pt>
                <c:pt idx="9">
                  <c:v>0.28333333333333333</c:v>
                </c:pt>
                <c:pt idx="10">
                  <c:v>0.20588235294117646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7021568"/>
        <c:axId val="77023104"/>
      </c:barChart>
      <c:catAx>
        <c:axId val="77021568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fr-FR"/>
          </a:p>
        </c:txPr>
        <c:crossAx val="770231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7023104"/>
        <c:scaling>
          <c:orientation val="minMax"/>
        </c:scaling>
        <c:delete val="1"/>
        <c:axPos val="t"/>
        <c:numFmt formatCode="0.0%" sourceLinked="1"/>
        <c:majorTickMark val="out"/>
        <c:minorTickMark val="none"/>
        <c:tickLblPos val="nextTo"/>
        <c:crossAx val="7702156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8087774294670851"/>
          <c:y val="0.4225361970598745"/>
          <c:w val="0.10815047021943569"/>
          <c:h val="0.15962465959360711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6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fr-F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fr-FR"/>
              <a:t>Investissements dans les 3 mois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32430643044619417"/>
          <c:y val="0.24025974025974026"/>
          <c:w val="0.34236111111111112"/>
          <c:h val="0.53354978354978355"/>
        </c:manualLayout>
      </c:layout>
      <c:pieChart>
        <c:varyColors val="1"/>
        <c:ser>
          <c:idx val="0"/>
          <c:order val="0"/>
          <c:explosion val="6"/>
          <c:dPt>
            <c:idx val="0"/>
            <c:bubble3D val="0"/>
            <c:spPr>
              <a:solidFill>
                <a:srgbClr val="FF6600"/>
              </a:solidFill>
            </c:spPr>
          </c:dPt>
          <c:dPt>
            <c:idx val="1"/>
            <c:bubble3D val="0"/>
            <c:spPr>
              <a:solidFill>
                <a:srgbClr val="FFCC00"/>
              </a:solidFill>
            </c:spPr>
          </c:dPt>
          <c:dPt>
            <c:idx val="2"/>
            <c:bubble3D val="0"/>
            <c:spPr>
              <a:solidFill>
                <a:srgbClr val="FF7C80"/>
              </a:solidFill>
            </c:spPr>
          </c:dPt>
          <c:dLbls>
            <c:dLbl>
              <c:idx val="0"/>
              <c:layout>
                <c:manualLayout>
                  <c:x val="0.12733730234940144"/>
                  <c:y val="7.797324114973433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Sans</a:t>
                    </a:r>
                    <a:r>
                      <a:rPr lang="en-US" baseline="0"/>
                      <a:t> réponse
3,9%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6797814907282934E-2"/>
                  <c:y val="6.588246591127328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Non</a:t>
                    </a:r>
                    <a:r>
                      <a:rPr lang="en-US" baseline="0"/>
                      <a:t>
78,5%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0953630796150484E-3"/>
                  <c:y val="4.9026310735548299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0" i="0" u="none" strike="noStrike" baseline="0">
                        <a:solidFill>
                          <a:srgbClr val="000000"/>
                        </a:solidFill>
                        <a:latin typeface="Calibri"/>
                      </a:rPr>
                      <a:t>Oui </a:t>
                    </a:r>
                  </a:p>
                  <a:p>
                    <a:r>
                      <a:rPr lang="en-US" sz="1000" b="0" i="0" u="none" strike="noStrike" baseline="0">
                        <a:solidFill>
                          <a:srgbClr val="000000"/>
                        </a:solidFill>
                        <a:latin typeface="Calibri"/>
                      </a:rPr>
                      <a:t>17,4%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INVT!$A$3:$A$5</c:f>
              <c:strCache>
                <c:ptCount val="3"/>
                <c:pt idx="0">
                  <c:v>Sans réponse</c:v>
                </c:pt>
                <c:pt idx="1">
                  <c:v>Non</c:v>
                </c:pt>
                <c:pt idx="2">
                  <c:v>Oui</c:v>
                </c:pt>
              </c:strCache>
            </c:strRef>
          </c:cat>
          <c:val>
            <c:numRef>
              <c:f>INVT!$C$3:$C$5</c:f>
              <c:numCache>
                <c:formatCode>0.0%</c:formatCode>
                <c:ptCount val="3"/>
                <c:pt idx="0">
                  <c:v>3.8623595505617975E-2</c:v>
                </c:pt>
                <c:pt idx="1">
                  <c:v>0.7851123595505618</c:v>
                </c:pt>
                <c:pt idx="2">
                  <c:v>0.17442668519805421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400">
          <a:noFill/>
        </a:ln>
      </c:spPr>
    </c:plotArea>
    <c:plotVisOnly val="1"/>
    <c:dispBlanksAs val="zero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fr-FR"/>
              <a:t>Projets d'investissements</a:t>
            </a:r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6.3740856844305124E-2"/>
          <c:y val="0.12654353391011308"/>
          <c:w val="0.87460815047021945"/>
          <c:h val="0.66666867606058322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333399"/>
                    </a:solidFill>
                    <a:latin typeface="Verdana"/>
                    <a:ea typeface="Verdana"/>
                    <a:cs typeface="Verdana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'détails INVT'!$G$14:$G$17</c:f>
              <c:strCache>
                <c:ptCount val="4"/>
                <c:pt idx="0">
                  <c:v>Aménagement - Rénovation</c:v>
                </c:pt>
                <c:pt idx="1">
                  <c:v>Matériel, mobilier, informatique</c:v>
                </c:pt>
                <c:pt idx="2">
                  <c:v>Autres</c:v>
                </c:pt>
                <c:pt idx="3">
                  <c:v>Constructions</c:v>
                </c:pt>
              </c:strCache>
            </c:strRef>
          </c:cat>
          <c:val>
            <c:numRef>
              <c:f>'détails INVT'!$H$14:$H$17</c:f>
              <c:numCache>
                <c:formatCode>0.0%</c:formatCode>
                <c:ptCount val="4"/>
                <c:pt idx="0">
                  <c:v>0.36653386454183268</c:v>
                </c:pt>
                <c:pt idx="1">
                  <c:v>0.42231075697211157</c:v>
                </c:pt>
                <c:pt idx="2">
                  <c:v>0.24701195219123506</c:v>
                </c:pt>
                <c:pt idx="3">
                  <c:v>6.3745019920318724E-2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7120640"/>
        <c:axId val="77122176"/>
      </c:barChart>
      <c:catAx>
        <c:axId val="77120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77122176"/>
        <c:crosses val="autoZero"/>
        <c:auto val="1"/>
        <c:lblAlgn val="ctr"/>
        <c:lblOffset val="100"/>
        <c:noMultiLvlLbl val="0"/>
      </c:catAx>
      <c:valAx>
        <c:axId val="77122176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extTo"/>
        <c:crossAx val="7712064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8615532894453768"/>
          <c:y val="3.2520325203252036E-2"/>
          <c:w val="0.79635833225764807"/>
          <c:h val="0.8977932636469221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INVT!$A$23:$A$26</c:f>
              <c:strCache>
                <c:ptCount val="4"/>
                <c:pt idx="0">
                  <c:v>60 ans et plus</c:v>
                </c:pt>
                <c:pt idx="1">
                  <c:v>50-59 ans</c:v>
                </c:pt>
                <c:pt idx="2">
                  <c:v>40-49 ans</c:v>
                </c:pt>
                <c:pt idx="3">
                  <c:v>Moins de 39 ans</c:v>
                </c:pt>
              </c:strCache>
            </c:strRef>
          </c:cat>
          <c:val>
            <c:numRef>
              <c:f>INVT!$B$23:$B$26</c:f>
              <c:numCache>
                <c:formatCode>0.0%</c:formatCode>
                <c:ptCount val="4"/>
                <c:pt idx="0">
                  <c:v>0.11290322580645161</c:v>
                </c:pt>
                <c:pt idx="1">
                  <c:v>0.16562499999999999</c:v>
                </c:pt>
                <c:pt idx="2">
                  <c:v>0.21232876712328766</c:v>
                </c:pt>
                <c:pt idx="3">
                  <c:v>0.3037037037037037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7134464"/>
        <c:axId val="79634816"/>
      </c:barChart>
      <c:catAx>
        <c:axId val="771344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79634816"/>
        <c:crosses val="autoZero"/>
        <c:auto val="1"/>
        <c:lblAlgn val="ctr"/>
        <c:lblOffset val="100"/>
        <c:noMultiLvlLbl val="0"/>
      </c:catAx>
      <c:valAx>
        <c:axId val="79634816"/>
        <c:scaling>
          <c:orientation val="minMax"/>
        </c:scaling>
        <c:delete val="1"/>
        <c:axPos val="b"/>
        <c:numFmt formatCode="0.0%" sourceLinked="1"/>
        <c:majorTickMark val="out"/>
        <c:minorTickMark val="none"/>
        <c:tickLblPos val="nextTo"/>
        <c:crossAx val="7713446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16"/>
    </mc:Choice>
    <mc:Fallback>
      <c:style val="16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1547713726419652"/>
          <c:y val="4.0009332166812475E-2"/>
          <c:w val="0.68452286273580354"/>
          <c:h val="0.92427646544181974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INVT!$A$62:$A$72</c:f>
              <c:strCache>
                <c:ptCount val="11"/>
                <c:pt idx="0">
                  <c:v>Equipement de la personne</c:v>
                </c:pt>
                <c:pt idx="1">
                  <c:v>Santé</c:v>
                </c:pt>
                <c:pt idx="2">
                  <c:v>Culture et loisirs</c:v>
                </c:pt>
                <c:pt idx="3">
                  <c:v>Commerce de détail alimentaire</c:v>
                </c:pt>
                <c:pt idx="4">
                  <c:v>Transports</c:v>
                </c:pt>
                <c:pt idx="5">
                  <c:v>Café, hôtellerie, restauration</c:v>
                </c:pt>
                <c:pt idx="6">
                  <c:v>Bâtiment</c:v>
                </c:pt>
                <c:pt idx="7">
                  <c:v>Beauté, esthétique</c:v>
                </c:pt>
                <c:pt idx="8">
                  <c:v>Equipement de la maison</c:v>
                </c:pt>
                <c:pt idx="9">
                  <c:v>Services</c:v>
                </c:pt>
                <c:pt idx="10">
                  <c:v>Automobile</c:v>
                </c:pt>
              </c:strCache>
            </c:strRef>
          </c:cat>
          <c:val>
            <c:numRef>
              <c:f>INVT!$B$62:$B$72</c:f>
              <c:numCache>
                <c:formatCode>0.0%</c:formatCode>
                <c:ptCount val="11"/>
                <c:pt idx="0">
                  <c:v>0.28000000000000003</c:v>
                </c:pt>
                <c:pt idx="1">
                  <c:v>0.26800000000000002</c:v>
                </c:pt>
                <c:pt idx="2">
                  <c:v>0.25</c:v>
                </c:pt>
                <c:pt idx="3">
                  <c:v>0.216</c:v>
                </c:pt>
                <c:pt idx="4">
                  <c:v>0.188</c:v>
                </c:pt>
                <c:pt idx="5">
                  <c:v>0.17</c:v>
                </c:pt>
                <c:pt idx="6">
                  <c:v>0.17</c:v>
                </c:pt>
                <c:pt idx="7">
                  <c:v>0.16800000000000001</c:v>
                </c:pt>
                <c:pt idx="8">
                  <c:v>0.16700000000000001</c:v>
                </c:pt>
                <c:pt idx="9">
                  <c:v>0.13300000000000001</c:v>
                </c:pt>
                <c:pt idx="10">
                  <c:v>2.1000000000000001E-2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9671296"/>
        <c:axId val="79672832"/>
      </c:barChart>
      <c:catAx>
        <c:axId val="79671296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79672832"/>
        <c:crosses val="autoZero"/>
        <c:auto val="1"/>
        <c:lblAlgn val="ctr"/>
        <c:lblOffset val="100"/>
        <c:noMultiLvlLbl val="0"/>
      </c:catAx>
      <c:valAx>
        <c:axId val="79672832"/>
        <c:scaling>
          <c:orientation val="minMax"/>
        </c:scaling>
        <c:delete val="1"/>
        <c:axPos val="t"/>
        <c:numFmt formatCode="0.0%" sourceLinked="1"/>
        <c:majorTickMark val="out"/>
        <c:minorTickMark val="none"/>
        <c:tickLblPos val="nextTo"/>
        <c:crossAx val="7967129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118712273641851"/>
          <c:y val="0.2130811654872255"/>
          <c:w val="0.3762575452716298"/>
          <c:h val="0.59177306630282445"/>
        </c:manualLayout>
      </c:layout>
      <c:pieChart>
        <c:varyColors val="1"/>
        <c:ser>
          <c:idx val="0"/>
          <c:order val="0"/>
          <c:dPt>
            <c:idx val="0"/>
            <c:bubble3D val="0"/>
            <c:explosion val="15"/>
            <c:spPr>
              <a:solidFill>
                <a:schemeClr val="tx2">
                  <a:lumMod val="40000"/>
                  <a:lumOff val="60000"/>
                </a:schemeClr>
              </a:solidFill>
            </c:spPr>
          </c:dPt>
          <c:dPt>
            <c:idx val="1"/>
            <c:bubble3D val="0"/>
            <c:spPr>
              <a:solidFill>
                <a:srgbClr val="FF9B57"/>
              </a:solidFill>
            </c:spPr>
          </c:dPt>
          <c:dLbls>
            <c:dLbl>
              <c:idx val="0"/>
              <c:layout>
                <c:manualLayout>
                  <c:x val="4.4154269448713375E-2"/>
                  <c:y val="-4.8319877736801888E-2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ysClr val="windowText" lastClr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Baisse effectif 
56,1%</a:t>
                    </a:r>
                    <a:endParaRPr lang="en-US"/>
                  </a:p>
                </c:rich>
              </c:tx>
              <c:spPr>
                <a:noFill/>
                <a:ln w="25400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8045226741023568E-2"/>
                  <c:y val="-8.0515299511611682E-2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ysClr val="windowText" lastClr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Hausse effectif 
43,9%</a:t>
                    </a:r>
                    <a:endParaRPr lang="en-US"/>
                  </a:p>
                </c:rich>
              </c:tx>
              <c:spPr>
                <a:noFill/>
                <a:ln w="25400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10796643480944357"/>
                  <c:y val="3.1250105964172242E-2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ysClr val="windowText" lastClr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baseline="0">
                        <a:solidFill>
                          <a:sysClr val="windowText" lastClr="000000"/>
                        </a:solidFill>
                      </a:rPr>
                      <a:t>Sans Réponse
2%</a:t>
                    </a:r>
                    <a:endParaRPr/>
                  </a:p>
                </c:rich>
              </c:tx>
              <c:spPr>
                <a:noFill/>
                <a:ln w="25400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ysClr val="windowText" lastClr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'Variation EFFECTIF'!$A$10:$A$11</c:f>
              <c:strCache>
                <c:ptCount val="2"/>
                <c:pt idx="0">
                  <c:v>Baisse effectif </c:v>
                </c:pt>
                <c:pt idx="1">
                  <c:v>Hausse effectif </c:v>
                </c:pt>
              </c:strCache>
            </c:strRef>
          </c:cat>
          <c:val>
            <c:numRef>
              <c:f>'Variation EFFECTIF'!$C$10:$C$11</c:f>
              <c:numCache>
                <c:formatCode>0.0%</c:formatCode>
                <c:ptCount val="2"/>
                <c:pt idx="0">
                  <c:v>0.56074766355140182</c:v>
                </c:pt>
                <c:pt idx="1">
                  <c:v>0.43925233644859812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400">
          <a:noFill/>
        </a:ln>
      </c:spPr>
    </c:plotArea>
    <c:plotVisOnly val="1"/>
    <c:dispBlanksAs val="zero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118712273641851"/>
          <c:y val="0.22151932963207333"/>
          <c:w val="0.3762575452716298"/>
          <c:h val="0.59177306630282445"/>
        </c:manualLayout>
      </c:layout>
      <c:pie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</c:spPr>
          </c:dPt>
          <c:dPt>
            <c:idx val="1"/>
            <c:bubble3D val="0"/>
            <c:spPr>
              <a:solidFill>
                <a:srgbClr val="FF9B57"/>
              </a:solidFill>
            </c:spPr>
          </c:dPt>
          <c:dLbls>
            <c:dLbl>
              <c:idx val="0"/>
              <c:layout>
                <c:manualLayout>
                  <c:x val="9.7809745612784313E-2"/>
                  <c:y val="-0.12004983554270907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ysClr val="windowText" lastClr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Non
89,6%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1.8632360074161716E-2"/>
                  <c:y val="-2.9882055882255225E-2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ysClr val="windowText" lastClr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Oui
10,4%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10796643480944357"/>
                  <c:y val="3.1250105964172242E-2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rgbClr val="339966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t>Sans Réponse
2%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'INTENTION EMBAUCHER 6 PROCH '!$A$10:$A$11</c:f>
              <c:strCache>
                <c:ptCount val="2"/>
                <c:pt idx="0">
                  <c:v>Non</c:v>
                </c:pt>
                <c:pt idx="1">
                  <c:v>Oui</c:v>
                </c:pt>
              </c:strCache>
            </c:strRef>
          </c:cat>
          <c:val>
            <c:numRef>
              <c:f>'INTENTION EMBAUCHER 6 PROCH '!$C$10:$C$11</c:f>
              <c:numCache>
                <c:formatCode>0.0%</c:formatCode>
                <c:ptCount val="2"/>
                <c:pt idx="0">
                  <c:v>0.89645390070921982</c:v>
                </c:pt>
                <c:pt idx="1">
                  <c:v>0.10354609929078014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400">
          <a:noFill/>
        </a:ln>
      </c:spPr>
    </c:plotArea>
    <c:plotVisOnly val="1"/>
    <c:dispBlanksAs val="zero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7B8873-4296-4437-B5CB-47F29846E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13</Pages>
  <Words>1486</Words>
  <Characters>8177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RESULTATS BAROMETRE 1er SEMESTRE 2010</vt:lpstr>
    </vt:vector>
  </TitlesOfParts>
  <Company/>
  <LinksUpToDate>false</LinksUpToDate>
  <CharactersWithSpaces>9644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RESULTATS BAROMETRE 1er SEMESTRE 2010</dc:title>
  <dc:creator>valerie</dc:creator>
  <cp:lastModifiedBy>ms</cp:lastModifiedBy>
  <cp:revision>2</cp:revision>
  <cp:lastPrinted>2021-12-16T14:23:00Z</cp:lastPrinted>
  <dcterms:created xsi:type="dcterms:W3CDTF">2021-12-15T17:06:00Z</dcterms:created>
  <dcterms:modified xsi:type="dcterms:W3CDTF">2021-12-16T15:12:00Z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ciété">
    <vt:lpwstr>CGA 13</vt:lpwstr>
  </property>
  <property fmtid="{D5CDD505-2E9C-101B-9397-08002B2CF9AE}" pid="3" name="Sujet">
    <vt:lpwstr>BAROMETREGOOGLE ADHERENT 2017</vt:lpwstr>
  </property>
  <property fmtid="{D5CDD505-2E9C-101B-9397-08002B2CF9AE}" pid="4" name="Responsable">
    <vt:lpwstr> </vt:lpwstr>
  </property>
  <property fmtid="{D5CDD505-2E9C-101B-9397-08002B2CF9AE}" pid="5" name="Auteur">
    <vt:lpwstr>ms       </vt:lpwstr>
  </property>
  <property fmtid="{D5CDD505-2E9C-101B-9397-08002B2CF9AE}" pid="6" name="Titre">
    <vt:lpwstr>Envoi du baromètre Trimestriel Google: STADNIK</vt:lpwstr>
  </property>
</Properties>
</file>